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A805" w14:textId="77777777" w:rsidR="0097103D" w:rsidRPr="003D3BA8" w:rsidRDefault="0097103D">
      <w:pPr>
        <w:pStyle w:val="Corpodetexto"/>
        <w:ind w:left="0"/>
        <w:jc w:val="left"/>
        <w:rPr>
          <w:sz w:val="20"/>
        </w:rPr>
      </w:pPr>
    </w:p>
    <w:p w14:paraId="0A46A22F" w14:textId="77777777" w:rsidR="0097103D" w:rsidRDefault="0097103D">
      <w:pPr>
        <w:pStyle w:val="Corpodetexto"/>
        <w:ind w:left="0"/>
        <w:jc w:val="left"/>
        <w:rPr>
          <w:rFonts w:ascii="Times New Roman"/>
          <w:sz w:val="20"/>
        </w:rPr>
      </w:pPr>
    </w:p>
    <w:p w14:paraId="52C89ACC" w14:textId="77777777" w:rsidR="0097103D" w:rsidRDefault="0097103D">
      <w:pPr>
        <w:pStyle w:val="Corpodetexto"/>
        <w:ind w:left="0"/>
        <w:jc w:val="left"/>
        <w:rPr>
          <w:rFonts w:ascii="Times New Roman"/>
          <w:sz w:val="20"/>
        </w:rPr>
      </w:pPr>
    </w:p>
    <w:p w14:paraId="74E76703" w14:textId="77777777" w:rsidR="0097103D" w:rsidRDefault="0097103D">
      <w:pPr>
        <w:pStyle w:val="Corpodetexto"/>
        <w:spacing w:before="7"/>
        <w:ind w:left="0"/>
        <w:jc w:val="left"/>
        <w:rPr>
          <w:rFonts w:ascii="Times New Roman"/>
          <w:sz w:val="20"/>
        </w:rPr>
      </w:pPr>
    </w:p>
    <w:p w14:paraId="666EC483" w14:textId="145BE622" w:rsidR="0097103D" w:rsidRDefault="00076676" w:rsidP="00782679">
      <w:pPr>
        <w:pStyle w:val="Ttulo1"/>
        <w:spacing w:line="360" w:lineRule="auto"/>
        <w:ind w:left="2410" w:right="1208" w:hanging="1559"/>
        <w:rPr>
          <w:b w:val="0"/>
          <w:sz w:val="37"/>
        </w:rPr>
      </w:pPr>
      <w:r>
        <w:t xml:space="preserve">COMPETÊNCIAS PREVISTAS NO CONTRATO DE GESTÃO N° </w:t>
      </w:r>
      <w:r w:rsidR="0040375A">
        <w:t xml:space="preserve">   </w:t>
      </w:r>
      <w:r w:rsidR="003D3BA8" w:rsidRPr="008C3293">
        <w:rPr>
          <w:rFonts w:ascii="Times New Roman" w:eastAsia="Times New Roman" w:hAnsi="Times New Roman" w:cs="Times New Roman"/>
          <w:color w:val="000000"/>
        </w:rPr>
        <w:t>51/2020-SES/GO/2020</w:t>
      </w:r>
    </w:p>
    <w:p w14:paraId="3833DC7F" w14:textId="0C63F009" w:rsidR="00B84B56" w:rsidRDefault="003B078F" w:rsidP="003B078F">
      <w:pPr>
        <w:spacing w:line="360" w:lineRule="auto"/>
        <w:ind w:left="142" w:right="216" w:firstLine="992"/>
        <w:jc w:val="both"/>
        <w:rPr>
          <w:rFonts w:eastAsia="Times New Roman"/>
          <w:color w:val="000000"/>
          <w:sz w:val="24"/>
          <w:szCs w:val="24"/>
        </w:rPr>
      </w:pPr>
      <w:r>
        <w:rPr>
          <w:sz w:val="24"/>
          <w:szCs w:val="24"/>
        </w:rPr>
        <w:t xml:space="preserve">As </w:t>
      </w:r>
      <w:r w:rsidRPr="003B078F">
        <w:rPr>
          <w:sz w:val="24"/>
          <w:szCs w:val="24"/>
        </w:rPr>
        <w:t>norma</w:t>
      </w:r>
      <w:r>
        <w:rPr>
          <w:sz w:val="24"/>
          <w:szCs w:val="24"/>
        </w:rPr>
        <w:t xml:space="preserve">s e os </w:t>
      </w:r>
      <w:r w:rsidRPr="003B078F">
        <w:rPr>
          <w:sz w:val="24"/>
          <w:szCs w:val="24"/>
        </w:rPr>
        <w:t>documento</w:t>
      </w:r>
      <w:r>
        <w:rPr>
          <w:sz w:val="24"/>
          <w:szCs w:val="24"/>
        </w:rPr>
        <w:t>s da quais</w:t>
      </w:r>
      <w:r w:rsidRPr="003B078F">
        <w:rPr>
          <w:sz w:val="24"/>
          <w:szCs w:val="24"/>
        </w:rPr>
        <w:t xml:space="preserve"> as competências foram extraídas, </w:t>
      </w:r>
      <w:r>
        <w:rPr>
          <w:sz w:val="24"/>
          <w:szCs w:val="24"/>
        </w:rPr>
        <w:t xml:space="preserve">foram do </w:t>
      </w:r>
      <w:r w:rsidR="00042276">
        <w:rPr>
          <w:sz w:val="24"/>
          <w:szCs w:val="24"/>
        </w:rPr>
        <w:t>C</w:t>
      </w:r>
      <w:r>
        <w:rPr>
          <w:sz w:val="24"/>
          <w:szCs w:val="24"/>
        </w:rPr>
        <w:t xml:space="preserve">ontrato de Gestão </w:t>
      </w:r>
      <w:r w:rsidR="00042276">
        <w:rPr>
          <w:sz w:val="24"/>
          <w:szCs w:val="24"/>
        </w:rPr>
        <w:t xml:space="preserve">nº </w:t>
      </w:r>
      <w:r w:rsidRPr="003B078F">
        <w:rPr>
          <w:rFonts w:eastAsia="Times New Roman"/>
          <w:color w:val="000000"/>
          <w:sz w:val="24"/>
          <w:szCs w:val="24"/>
        </w:rPr>
        <w:t>51/2020-SES/GO/2020</w:t>
      </w:r>
      <w:r>
        <w:rPr>
          <w:rFonts w:eastAsia="Times New Roman"/>
          <w:color w:val="000000"/>
          <w:sz w:val="24"/>
          <w:szCs w:val="24"/>
        </w:rPr>
        <w:t xml:space="preserve">, com vigência </w:t>
      </w:r>
      <w:r w:rsidR="00042276">
        <w:rPr>
          <w:rFonts w:eastAsia="Times New Roman"/>
          <w:color w:val="000000"/>
          <w:sz w:val="24"/>
          <w:szCs w:val="24"/>
        </w:rPr>
        <w:t>de</w:t>
      </w:r>
      <w:r>
        <w:rPr>
          <w:rFonts w:eastAsia="Times New Roman"/>
          <w:color w:val="000000"/>
          <w:sz w:val="24"/>
          <w:szCs w:val="24"/>
        </w:rPr>
        <w:t xml:space="preserve"> 4</w:t>
      </w:r>
      <w:r w:rsidR="00042276">
        <w:rPr>
          <w:rFonts w:eastAsia="Times New Roman"/>
          <w:color w:val="000000"/>
          <w:sz w:val="24"/>
          <w:szCs w:val="24"/>
        </w:rPr>
        <w:t xml:space="preserve">1 (quarenta e um) </w:t>
      </w:r>
      <w:r>
        <w:rPr>
          <w:rFonts w:eastAsia="Times New Roman"/>
          <w:color w:val="000000"/>
          <w:sz w:val="24"/>
          <w:szCs w:val="24"/>
        </w:rPr>
        <w:t>meses a partir d</w:t>
      </w:r>
      <w:r w:rsidR="00042276">
        <w:rPr>
          <w:rFonts w:eastAsia="Times New Roman"/>
          <w:color w:val="000000"/>
          <w:sz w:val="24"/>
          <w:szCs w:val="24"/>
        </w:rPr>
        <w:t>e</w:t>
      </w:r>
      <w:r>
        <w:rPr>
          <w:rFonts w:eastAsia="Times New Roman"/>
          <w:color w:val="000000"/>
          <w:sz w:val="24"/>
          <w:szCs w:val="24"/>
        </w:rPr>
        <w:t xml:space="preserve"> </w:t>
      </w:r>
      <w:r w:rsidR="00042276">
        <w:rPr>
          <w:rFonts w:eastAsia="Times New Roman"/>
          <w:color w:val="000000"/>
          <w:sz w:val="24"/>
          <w:szCs w:val="24"/>
        </w:rPr>
        <w:t>04</w:t>
      </w:r>
      <w:r>
        <w:rPr>
          <w:rFonts w:eastAsia="Times New Roman"/>
          <w:color w:val="000000"/>
          <w:sz w:val="24"/>
          <w:szCs w:val="24"/>
        </w:rPr>
        <w:t>/1</w:t>
      </w:r>
      <w:r w:rsidR="00042276">
        <w:rPr>
          <w:rFonts w:eastAsia="Times New Roman"/>
          <w:color w:val="000000"/>
          <w:sz w:val="24"/>
          <w:szCs w:val="24"/>
        </w:rPr>
        <w:t>1</w:t>
      </w:r>
      <w:r>
        <w:rPr>
          <w:rFonts w:eastAsia="Times New Roman"/>
          <w:color w:val="000000"/>
          <w:sz w:val="24"/>
          <w:szCs w:val="24"/>
        </w:rPr>
        <w:t>/2020</w:t>
      </w:r>
    </w:p>
    <w:p w14:paraId="389EBCBE" w14:textId="77777777" w:rsidR="003B078F" w:rsidRPr="003B078F" w:rsidRDefault="00B84B56" w:rsidP="003B078F">
      <w:pPr>
        <w:spacing w:line="360" w:lineRule="auto"/>
        <w:ind w:left="142" w:right="216" w:firstLine="992"/>
        <w:jc w:val="both"/>
        <w:rPr>
          <w:sz w:val="24"/>
          <w:szCs w:val="24"/>
        </w:rPr>
      </w:pPr>
      <w:r>
        <w:rPr>
          <w:rFonts w:eastAsia="Times New Roman"/>
          <w:color w:val="000000"/>
          <w:sz w:val="24"/>
          <w:szCs w:val="24"/>
        </w:rPr>
        <w:t>Extração da Cláusula II – Das Obrigações e Responsabilidades do Contrato, que segue abaixo:</w:t>
      </w:r>
    </w:p>
    <w:p w14:paraId="3CBB9F3D" w14:textId="77777777" w:rsidR="00B84B56" w:rsidRPr="00B84B56" w:rsidRDefault="00B84B56" w:rsidP="00B84B56">
      <w:pPr>
        <w:spacing w:before="120" w:after="120" w:line="360" w:lineRule="auto"/>
        <w:ind w:left="120" w:right="120"/>
        <w:jc w:val="center"/>
        <w:rPr>
          <w:rFonts w:eastAsia="Times New Roman"/>
          <w:color w:val="000000"/>
          <w:sz w:val="24"/>
          <w:szCs w:val="24"/>
        </w:rPr>
      </w:pPr>
      <w:r w:rsidRPr="00B84B56">
        <w:rPr>
          <w:rFonts w:eastAsia="Times New Roman"/>
          <w:b/>
          <w:bCs/>
          <w:color w:val="000000"/>
          <w:sz w:val="24"/>
          <w:szCs w:val="24"/>
        </w:rPr>
        <w:t>CLÁUSULA SEGUNDA – DAS OBRIGAÇÕES E RESPONSABILIDADES DO PARCEIRO PRIVADO</w:t>
      </w:r>
    </w:p>
    <w:p w14:paraId="04D8B550"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 São obrigações e responsabilidades do PARCEIRO PRIVADO:</w:t>
      </w:r>
    </w:p>
    <w:p w14:paraId="08B082D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 Executar todas as atividades e/ou serviços auxiliares descritos e caracterizados no Edital de Chamamento e em sua Proposta de Trabalho, zelando pela boa qualidade das ações e serviços ofertados e primando pela eficiência, eficácia, efetividade e economicidade em suas atividades, com o cumprimento das metas e prazos previstos, em consonância com as demais cláusulas e condições estabelecidas neste CONTRATO DE GESTÃO;</w:t>
      </w:r>
    </w:p>
    <w:p w14:paraId="76988EED"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 Observar, no transcorrer da execução de suas atividades, as orientações, as diretrizes e a política pública na área de saúde traçadas pelo PARCEIRO PÚBLICO;</w:t>
      </w:r>
    </w:p>
    <w:p w14:paraId="55B020F8"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 Utilizar os bens, materiais e os recursos humanos custeados com recursos deste CONTRATO DE GESTÃO exclusivamente na execução do seu objeto.</w:t>
      </w:r>
    </w:p>
    <w:p w14:paraId="60EDA222"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 Inventariar todos os bens móveis e imóveis permanentes, bem como a conta contábil estoque e o almoxarifado, devendo apresentar relatórios trimestrais com as especificações de todos os bens cujo uso lhe foi permitido, bem como daqueles adquiridos com recursos oriundos deste CONTRATO DE GESTÃO, observando as normas de gestão de patrimônio editadas pelo PARCEIRO PÚBLICO.</w:t>
      </w:r>
    </w:p>
    <w:p w14:paraId="1771DC9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 Administrar e utilizar os bens móveis cujo uso lhe fora permitido, em conformidade com o disposto nos respectivos Termos de Permissão de Uso, até sua restituição ao PARCEIRO PÚBLICO.</w:t>
      </w:r>
    </w:p>
    <w:p w14:paraId="0628C927"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2.6. Adotar todos os procedimentos necessários para, em até 05 (cinco) dias úteis, a imediata </w:t>
      </w:r>
      <w:proofErr w:type="spellStart"/>
      <w:r w:rsidRPr="00B84B56">
        <w:rPr>
          <w:rFonts w:eastAsia="Times New Roman"/>
          <w:color w:val="000000"/>
          <w:sz w:val="24"/>
          <w:szCs w:val="24"/>
        </w:rPr>
        <w:t>patrimonialização</w:t>
      </w:r>
      <w:proofErr w:type="spellEnd"/>
      <w:r w:rsidRPr="00B84B56">
        <w:rPr>
          <w:rFonts w:eastAsia="Times New Roman"/>
          <w:color w:val="000000"/>
          <w:sz w:val="24"/>
          <w:szCs w:val="24"/>
        </w:rPr>
        <w:t xml:space="preserve"> pública dos bens, móveis e imóveis, adquiridos com </w:t>
      </w:r>
      <w:r w:rsidRPr="00B84B56">
        <w:rPr>
          <w:rFonts w:eastAsia="Times New Roman"/>
          <w:color w:val="000000"/>
          <w:sz w:val="24"/>
          <w:szCs w:val="24"/>
        </w:rPr>
        <w:lastRenderedPageBreak/>
        <w:t>recursos oriundos deste CONTRATO DE GESTÃO, nos termos do art. 9º, caput, da Lei estadual nº 15.503/05.</w:t>
      </w:r>
    </w:p>
    <w:p w14:paraId="65B9A26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2.7. Efetivar a </w:t>
      </w:r>
      <w:proofErr w:type="spellStart"/>
      <w:r w:rsidRPr="00B84B56">
        <w:rPr>
          <w:rFonts w:eastAsia="Times New Roman"/>
          <w:color w:val="000000"/>
          <w:sz w:val="24"/>
          <w:szCs w:val="24"/>
        </w:rPr>
        <w:t>patrimonialização</w:t>
      </w:r>
      <w:proofErr w:type="spellEnd"/>
      <w:r w:rsidRPr="00B84B56">
        <w:rPr>
          <w:rFonts w:eastAsia="Times New Roman"/>
          <w:color w:val="000000"/>
          <w:sz w:val="24"/>
          <w:szCs w:val="24"/>
        </w:rPr>
        <w:t xml:space="preserve"> a que se refere o item anterior, por meio de tombamento dos bens móveis no setor competente do órgão supervisor e, quanto aos bens imóveis, mediante as providências próprias junto à Secretaria de Estado da Administração.</w:t>
      </w:r>
    </w:p>
    <w:p w14:paraId="1D981CF7"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2.8. Comunicar ao PARCEIRO PÚBLICO, no prazo máximo de 30 (trinta) dias após sua ocorrência, todas as aquisições de bens móveis que forem realizadas ou as doações que forem recebidas;</w:t>
      </w:r>
    </w:p>
    <w:p w14:paraId="6F9BF782"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2.9. Disponibilizar ao PARCEIRO PÚBLICO para que sejam incorporados ao seu patrimônio, nas hipóteses de sua extinção/dissolução ou desqualificação, as doações e os legados eventualmente recebidos em decorrência das atividades executadas neste CONTRATO DE GESTÃO, bem como todos os excedentes financeiros gerados ao longo de sua execução;</w:t>
      </w:r>
    </w:p>
    <w:p w14:paraId="4D7336E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2.10. Disponibilizar ao PARCEIRO PÚBLICO para que sejam revertidos ao seu patrimônio, nas hipóteses de desqualificação ou extinção da entidade e de rescisão deste ajuste de parceira, os bens cujo uso foi permitido, bem como o saldo de quaisquer dos recursos financeiros recebidos daquele em decorrência do CONTRATO DE GESTÃO;</w:t>
      </w:r>
    </w:p>
    <w:p w14:paraId="580D2AEE"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2.11. Proceder à devolução, a qualquer tempo e mediante justificativa, dos bens cujo uso lhe fora permitido e que não mais lhe sejam necessários ao cumprimento das metas pactuadas;</w:t>
      </w:r>
    </w:p>
    <w:p w14:paraId="0C34DA7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2.12. Prover os serviços e os equipamentos especificados no Edital de Chamamento e na sua Proposta Técnica, garantindo o bom andamento das atividades nas áreas constantes do Anexo Técnico e da Proposta de Trabalho;</w:t>
      </w:r>
    </w:p>
    <w:p w14:paraId="62AD86DB"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2.13. Manter todos os equipamentos e utensílios necessários à execução dos serviços em perfeitas condições de uso;</w:t>
      </w:r>
    </w:p>
    <w:p w14:paraId="361B5CEC"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2.14. Adquirir todo o material de consumo e peças de reposição dos bens necessários a execução dos serviços e pormenorizados no Anexo Técnico e na Proposta de Trabalho;</w:t>
      </w:r>
    </w:p>
    <w:p w14:paraId="52C889A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2.15. Manter limpos e conservados todos os espaços internos e externos das unidades públicas sob o seu gerenciamento;</w:t>
      </w:r>
    </w:p>
    <w:p w14:paraId="72557CD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lastRenderedPageBreak/>
        <w:t>2.16. Servir-se de Regulamento próprio, previamente aprovado pela Controladoria-Geral do Estado, para a contratação de obras, serviços, compras e admissão de pessoal, na forma do art. 17, </w:t>
      </w:r>
      <w:r w:rsidRPr="00B84B56">
        <w:rPr>
          <w:rFonts w:eastAsia="Times New Roman"/>
          <w:i/>
          <w:iCs/>
          <w:color w:val="000000"/>
          <w:sz w:val="24"/>
          <w:szCs w:val="24"/>
        </w:rPr>
        <w:t>caput</w:t>
      </w:r>
      <w:r w:rsidRPr="00B84B56">
        <w:rPr>
          <w:rFonts w:eastAsia="Times New Roman"/>
          <w:color w:val="000000"/>
          <w:sz w:val="24"/>
          <w:szCs w:val="24"/>
        </w:rPr>
        <w:t>, da Lei estadual nº 15.503/05, necessários à execução deste CONTRATO DE GESTÃO;</w:t>
      </w:r>
    </w:p>
    <w:p w14:paraId="54A2641F"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2.17. Publicar no Diário Oficial do Estado, no prazo máximo de 90 (noventa) dias contados da outorga deste CONTRATO DE GESTÃO, o regulamento contendo os procedimentos atinentes às alienações, as compras e os serviços que serão custeados com os recursos públicos lhe repassados, devendo também dispor sobre a admissão de pessoal, observando, para tanto, os princípios da impessoalidade, da moralidade, da boa-fé, da probidade, da economicidade, da eficiência, da isonomia, da publicidade e do julgamento objetivo;</w:t>
      </w:r>
    </w:p>
    <w:p w14:paraId="74E7DF6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2.18. Inserir no regulamento referido nos itens anteriores regra que vede a prática de nepotismo tanto em relação à admissão de pessoal, quanto no que diz respeito à celebração de negócios com pessoas jurídicas;</w:t>
      </w:r>
    </w:p>
    <w:p w14:paraId="7E71C8E7"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2.19. Disponibilizar, </w:t>
      </w:r>
      <w:r w:rsidRPr="00B84B56">
        <w:rPr>
          <w:rFonts w:eastAsia="Times New Roman"/>
          <w:color w:val="000000"/>
          <w:sz w:val="24"/>
          <w:szCs w:val="24"/>
          <w:u w:val="single"/>
        </w:rPr>
        <w:t>no prazo máximo de 120 (cento e vinte) dias</w:t>
      </w:r>
      <w:r w:rsidRPr="00B84B56">
        <w:rPr>
          <w:rFonts w:eastAsia="Times New Roman"/>
          <w:color w:val="000000"/>
          <w:sz w:val="24"/>
          <w:szCs w:val="24"/>
        </w:rPr>
        <w:t> contados da outorga deste CONTRATO DE GESTÃO, os recursos humanos necessários e adequados a execução do objeto, nos moldes registrados na Proposta Técnica apresentada;</w:t>
      </w:r>
    </w:p>
    <w:p w14:paraId="6E35548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2.20. Manter em seu quadro de profissionais, aqueles que são efetivos e pertencentes ao PARCEIRO PÚBLICO, e manifestarem interesse em permanecer na unidade pública sob seu gerenciamento;</w:t>
      </w:r>
    </w:p>
    <w:p w14:paraId="0EF7CC2E"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2.21. Garantir o preenchimento dos postos de trabalho necessários à execução das atividades descritas na Proposta de Técnica/Trabalho, mesmo nas ausências previstas na legislação vigente.</w:t>
      </w:r>
    </w:p>
    <w:p w14:paraId="5360C92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2.22. Responsabilizar-se integralmente pelo pagamento de salários, demais encargos trabalhistas, previdenciários, fiscais, comerciais e outros, resultantes da execução do objeto deste CONTRATO DE GESTÃO, observados para tanto os limites impostos pelos incisos V e VIII do art. 4º, c/c art. 8º, II, ambos da Lei Estadual nº 15.503, de 28 de dezembro de 2005, e suas alterações posteriores.</w:t>
      </w:r>
    </w:p>
    <w:p w14:paraId="431242E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2.23. Garantir o pagamento do piso salarial dos empregados celetistas, qualquer que seja a categoria profissional.</w:t>
      </w:r>
    </w:p>
    <w:p w14:paraId="2E9D47F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2.24. Observar fielmente a legislação trabalhista, bem como manter em dia o pagamento das obrigações tributárias e previdenciárias relativas aos seus empregados </w:t>
      </w:r>
      <w:r w:rsidRPr="00B84B56">
        <w:rPr>
          <w:rFonts w:eastAsia="Times New Roman"/>
          <w:color w:val="000000"/>
          <w:sz w:val="24"/>
          <w:szCs w:val="24"/>
        </w:rPr>
        <w:lastRenderedPageBreak/>
        <w:t>e prestadores de serviços, com o fornecimento de certidões de regularidade fiscal, previdenciária e trabalhista, sempre que solicitadas pelo PARCEIRO PÚBLICO;</w:t>
      </w:r>
    </w:p>
    <w:p w14:paraId="62DDF94F"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2.25. Apresentar ao PARCEIRO PÚBLICO o plano de cargos, salários e benefícios dos empregados, atestado pelo órgão ou entidade supervisora quanto à compatibilidade dos valores com os praticados no mercado e o disposto nos incisos V e VIII do art. 4º da Lei 15.503/2005, além de eventuais Acordos e/ou Convenções Coletivas de Trabalho aplicáveis;</w:t>
      </w:r>
    </w:p>
    <w:p w14:paraId="78B2493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2.26. Apresentar ao PARCEIRO PÚBLICO, com periodicidade </w:t>
      </w:r>
      <w:r w:rsidRPr="00B84B56">
        <w:rPr>
          <w:rFonts w:eastAsia="Times New Roman"/>
          <w:color w:val="000000"/>
          <w:sz w:val="24"/>
          <w:szCs w:val="24"/>
          <w:u w:val="single"/>
        </w:rPr>
        <w:t>mensal</w:t>
      </w:r>
      <w:r w:rsidRPr="00B84B56">
        <w:rPr>
          <w:rFonts w:eastAsia="Times New Roman"/>
          <w:color w:val="000000"/>
          <w:sz w:val="24"/>
          <w:szCs w:val="24"/>
        </w:rPr>
        <w:t>, para fins de verificação do cumprimento das obrigações trabalhistas, a seguinte documentação:</w:t>
      </w:r>
    </w:p>
    <w:p w14:paraId="6AAF333E"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a) Folhas de pagamento dos empregados (pessoal e dirigentes) admitidos ou mantidos com recursos do contrato de gestão, indicando, no mínimo, a função desempenhada, data de admissão e a discriminação da composição dos valores pagos, em formatos sintéticos e analíticos;</w:t>
      </w:r>
    </w:p>
    <w:p w14:paraId="5E4DCC5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b) Relação dos servidores/funcionários cedidos, indicando no mínimo: nome, CPF, cargo, função e remuneração, com a discriminação da composição dos valores e da fonte de pagamento;</w:t>
      </w:r>
    </w:p>
    <w:p w14:paraId="69A4A78D"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c) Certidões negativas de débitos perante a Fazenda estadual, o Instituto nacional de Seguro Social (INSS), o Fundo de Garantia do Tempo de Serviço (FGTS), bem como relação de demandas em que figure como réu, além de decisões judiciais que lhe forem desfavoráveis e os valores das respectivas condenações;</w:t>
      </w:r>
    </w:p>
    <w:p w14:paraId="6CBCC1C8"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2.27. Cumprir a programação anual de formação continuada para os recursos humanos, conforme Proposta Técnica apresentada;</w:t>
      </w:r>
    </w:p>
    <w:p w14:paraId="206315A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2.28. Cumprir rigorosamente as normas do Serviço Especializado de Engenharia de Segurança e Medicina do Trabalho, de acordo com a legislação;</w:t>
      </w:r>
    </w:p>
    <w:p w14:paraId="1441CAFC"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2.29. Fornecer os equipamentos de proteção individual e coletivo que se mostrarem necessários ao desempenho das atividades objeto deste CONTRATO DE GESTÃO;</w:t>
      </w:r>
    </w:p>
    <w:p w14:paraId="3B14E4F0"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2.30. Exercer o controle sobre a assiduidade e a pontualidade dos profissionais que executam o objeto desta PARCERIA, por meio de registro de ponto e de frequência;</w:t>
      </w:r>
    </w:p>
    <w:p w14:paraId="2B9F984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2.31. Manter, durante a execução deste CONTRATO DE GESTÃO estrutura administrativa compatível com as obrigações trabalhistas assumidas, bem como todas as condições de regularidade exigidas no Chamamento Público.</w:t>
      </w:r>
    </w:p>
    <w:p w14:paraId="24A2253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lastRenderedPageBreak/>
        <w:t>2.32. Manter durante a execução deste CONTRATO DE GESTÃO as certificações e capacitações técnicas da Diretoria, do Corpo Técnico/Administrativo e Executivo de acordo com o apresentado na Proposta de Técnica/Trabalho;</w:t>
      </w:r>
    </w:p>
    <w:p w14:paraId="7B79F8F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2.33. Manter em perfeita condição de uso e conservação os equipamentos e instrumentos necessários à gestão das atividades e/ou serviços permitidos pelo PARCEIRO PÚBLICO;</w:t>
      </w:r>
    </w:p>
    <w:p w14:paraId="1150AA4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2.34. Providenciar e manter atualizadas todas as licenças e alvarás necessários à regular execução das atividades e/ou serviços constantes deste CONTRATO DE GESTÃO;</w:t>
      </w:r>
    </w:p>
    <w:p w14:paraId="5EA0D5D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2.34.1 Encaminhar </w:t>
      </w:r>
      <w:r w:rsidRPr="00B84B56">
        <w:rPr>
          <w:rFonts w:eastAsia="Times New Roman"/>
          <w:color w:val="000000"/>
          <w:sz w:val="24"/>
          <w:szCs w:val="24"/>
          <w:u w:val="single"/>
        </w:rPr>
        <w:t>trimestralmente</w:t>
      </w:r>
      <w:r w:rsidRPr="00B84B56">
        <w:rPr>
          <w:rFonts w:eastAsia="Times New Roman"/>
          <w:color w:val="000000"/>
          <w:sz w:val="24"/>
          <w:szCs w:val="24"/>
        </w:rPr>
        <w:t> ao órgão supervisor cópia das licenças e alvarás necessários à regular execução das atividades e/ou serviços constantes deste CONTRATO DE GESTÃO;</w:t>
      </w:r>
    </w:p>
    <w:p w14:paraId="5B38322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2.35. Apresentar à Comissão de Avaliação instituída pelo PARCEIRO PÚBLICO, no máximo até o dia 10 (dez) do mês subsequente ao de referência, o relatório circunstanciado das atividades desenvolvidas no mês e das metas alcançadas;</w:t>
      </w:r>
    </w:p>
    <w:p w14:paraId="15E80F7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2.36. Emitir e apresentar, </w:t>
      </w:r>
      <w:r w:rsidRPr="00B84B56">
        <w:rPr>
          <w:rFonts w:eastAsia="Times New Roman"/>
          <w:color w:val="000000"/>
          <w:sz w:val="24"/>
          <w:szCs w:val="24"/>
          <w:u w:val="single"/>
        </w:rPr>
        <w:t>ao término de cada exercício (até o dia 10 de janeiro do exercício subsequente) ou a qualquer momento conforme recomende o interesse público</w:t>
      </w:r>
      <w:r w:rsidRPr="00B84B56">
        <w:rPr>
          <w:rFonts w:eastAsia="Times New Roman"/>
          <w:color w:val="000000"/>
          <w:sz w:val="24"/>
          <w:szCs w:val="24"/>
        </w:rPr>
        <w:t>, à Comissão de Avaliação instituída pelo PARCEIRO PÚBLICO, relatórios pertinentes à execução do contrato de gestão devidamente aprovados pelo Conselho de Administração do PARCEIRO PRIVADO, contendo comparativo específico das metas propostas com os resultados alcançados, acompanhado da prestação de contas, que deverá conter, no mínimo, a documentação relacionada nas alíneas “a” a “t”, do Item 14, Anexo I, da Resolução Normativa nº. 013/2017 do Tribunal de Contas do Estado de Goiás – TCE;</w:t>
      </w:r>
    </w:p>
    <w:p w14:paraId="02A5AB7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2.37. Adotar a logomarca do Estado de Goiás em todos os signos identificadores, tais como placas, cartazes, documentos oficiais e outros;</w:t>
      </w:r>
    </w:p>
    <w:p w14:paraId="28AF8AEF"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2.38. Responsabilizar-se pelo pagamento de indenização qualquer que seja sua natureza decorrente de ação ou omissão, dolosa ou culposa, que seus agentes causarem ao PARCEIRO PÚBLICO, aos destinatários dos serviços e/ou a terceiros;</w:t>
      </w:r>
    </w:p>
    <w:p w14:paraId="7171CE1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2.39. Comunicar imediatamente ao PARCEIRO PÚBLICO qualquer intercorrência mais expressiva ou os fatos capazes de redundar em pedido de indenização;</w:t>
      </w:r>
    </w:p>
    <w:p w14:paraId="35FC1BF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2.40. Acolher os destinatários das atividades objeto deste CONTRATO DE GESTÃO </w:t>
      </w:r>
      <w:r w:rsidRPr="00B84B56">
        <w:rPr>
          <w:rFonts w:eastAsia="Times New Roman"/>
          <w:color w:val="000000"/>
          <w:sz w:val="24"/>
          <w:szCs w:val="24"/>
        </w:rPr>
        <w:lastRenderedPageBreak/>
        <w:t>com dignidade, cortesia e respeito, de modo universal e igualitário, mantendo-se sempre a qualidade na prestação dos serviços, com observância das legislações especiais de proteção ao idoso (Lei nº 10.741, de 1º de outubro de 2003); à criança e ao adolescente (Lei nº 8.069, de 13 de julho de 1990) e ao portador de necessidades especiais (Lei nº 7.853, de 24 de outubro de 1989);</w:t>
      </w:r>
    </w:p>
    <w:p w14:paraId="23CA1492"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2.41. Manter em local visível nas dependências da unidade pública cujo uso lhe foi permitido, placa indicativa do endereço e telefone para registro de reclamações, críticas e/ou sugestões às atividades ofertadas;</w:t>
      </w:r>
    </w:p>
    <w:p w14:paraId="1A83FB3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2.42. Realizar periódica </w:t>
      </w:r>
      <w:r w:rsidRPr="00B84B56">
        <w:rPr>
          <w:rFonts w:eastAsia="Times New Roman"/>
          <w:color w:val="000000"/>
          <w:sz w:val="24"/>
          <w:szCs w:val="24"/>
          <w:u w:val="single"/>
        </w:rPr>
        <w:t>pesquisa de satisfação</w:t>
      </w:r>
      <w:r w:rsidRPr="00B84B56">
        <w:rPr>
          <w:rFonts w:eastAsia="Times New Roman"/>
          <w:color w:val="000000"/>
          <w:sz w:val="24"/>
          <w:szCs w:val="24"/>
        </w:rPr>
        <w:t> junto aos destinatários dos serviços, objeto deste CONTRATO DE GESTÃO, com envio </w:t>
      </w:r>
      <w:r w:rsidRPr="00B84B56">
        <w:rPr>
          <w:rFonts w:eastAsia="Times New Roman"/>
          <w:color w:val="000000"/>
          <w:sz w:val="24"/>
          <w:szCs w:val="24"/>
          <w:u w:val="single"/>
        </w:rPr>
        <w:t>quadrimestral</w:t>
      </w:r>
      <w:r w:rsidRPr="00B84B56">
        <w:rPr>
          <w:rFonts w:eastAsia="Times New Roman"/>
          <w:color w:val="000000"/>
          <w:sz w:val="24"/>
          <w:szCs w:val="24"/>
        </w:rPr>
        <w:t> de seus resultados ao PARCEIRO PÚBLICO.</w:t>
      </w:r>
    </w:p>
    <w:p w14:paraId="5448F5BF"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2.42.1. Mensurar mensalmente a taxa de absenteísmo dos colaboradores do PARCEIRO PÚBLICO;</w:t>
      </w:r>
    </w:p>
    <w:p w14:paraId="0E0883E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2.43. Publicar até o dia </w:t>
      </w:r>
      <w:r w:rsidRPr="00B84B56">
        <w:rPr>
          <w:rFonts w:eastAsia="Times New Roman"/>
          <w:color w:val="000000"/>
          <w:sz w:val="24"/>
          <w:szCs w:val="24"/>
          <w:u w:val="single"/>
        </w:rPr>
        <w:t>31 de janeiro</w:t>
      </w:r>
      <w:r w:rsidRPr="00B84B56">
        <w:rPr>
          <w:rFonts w:eastAsia="Times New Roman"/>
          <w:color w:val="000000"/>
          <w:sz w:val="24"/>
          <w:szCs w:val="24"/>
        </w:rPr>
        <w:t> o balanço geral das metas, os relatórios financeiros e de execução atinentes às atividades do ano anterior;</w:t>
      </w:r>
    </w:p>
    <w:p w14:paraId="77B8A40E"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2.44. Fornecer todas as informações e esclarecimentos solicitados pelo PARCEIRO PÚBLICO, pela Comissão de Avaliação e/ou demais órgãos encarregados do controle, da fiscalização e da regulação relativamente às atividades, operações, contratos, documentos, registros contábeis e demais assuntos que se mostrarem pertinentes;</w:t>
      </w:r>
    </w:p>
    <w:p w14:paraId="017AB250"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2.45. Contratar empresa de auditoria independente para auditar suas contas, para tanto emitindo relatório conclusivo e de acordo com as Normas Brasileiras de Contabilidade – NBC, cujos custos serão previamente autorizados pelo órgão supervisor;</w:t>
      </w:r>
    </w:p>
    <w:p w14:paraId="5B17590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2.46. Permitir o livre acesso aos livros contábeis, papéis, documentos e arquivos concernentes às atividades e operações objeto deste CONTRATO DE GESTÃO pelo pessoal especialmente designado pelo PARCEIRO PÚBLICO, bem como pelos técnicos dos demais órgãos de controle interno e externo, quando em missão de fiscalização, controle, avaliação ou auditoria;</w:t>
      </w:r>
    </w:p>
    <w:p w14:paraId="29BFB46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2.47. Restituir à conta do PARCEIRO PÚBLICO o valor repassado, atualizado monetariamente e acrescido de juros legais, na forma da legislação aplicável, contados da data do seu recebimento, quando as prestações de contas parciais e finais forem apresentadas extemporaneamente e/ou não forem aprovadas;</w:t>
      </w:r>
    </w:p>
    <w:p w14:paraId="3A784AE0"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2.48. Movimentar os recursos financeiros transferidos pelo PARCEIRO PÚBLICO em </w:t>
      </w:r>
      <w:r w:rsidRPr="00B84B56">
        <w:rPr>
          <w:rFonts w:eastAsia="Times New Roman"/>
          <w:color w:val="000000"/>
          <w:sz w:val="24"/>
          <w:szCs w:val="24"/>
        </w:rPr>
        <w:lastRenderedPageBreak/>
        <w:t>conta bancária específica isenta de tarifa bancária, de modo que os recursos transferidos não sejam confundidos com recursos alheios a esta parceria, devendo a instituição financeira possuir nota de classificação de risco superior a índice estabelecido pela Controladoria-Geral do Estado;</w:t>
      </w:r>
    </w:p>
    <w:p w14:paraId="33DD587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2.49. Manter e movimentar os recursos financeiros em mais de 01 (uma) conta bancária, sempre com anuência prévia e expressa do PARCEIRO PÚBLICO neste CONTRATO DE GESTÃO, quando consignar fontes de recursos orçamentários distintas e o objeto da parceria especificar a execução de diversos programas governamentais, com exigências próprias de prestação de contas;</w:t>
      </w:r>
    </w:p>
    <w:p w14:paraId="4D97354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2.50. Possuir conta bancária individualizada para cada CONTRATO DE GESTÃO, observado o disposto nos §§ 2º e 2º-A, do art. 14, da Lei estadual nº. 15.503/2005;</w:t>
      </w:r>
    </w:p>
    <w:p w14:paraId="3CE2D3A8"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2.51. Renunciar ao sigilo bancário em benefício do PARCEIRO PÚBLICO, para finalidade específica de acompanhamento, controle e fiscalização das respectivas movimentações financeiras.</w:t>
      </w:r>
    </w:p>
    <w:p w14:paraId="64DEB41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2.52. Manter, pelo período mínimo de 05 (cinco) anos, contados a partir do julgamento das contas do PARCEIRO PÚBLICO pelo Tribunal de Contas do Estado de Goiás – TCE/GO, os processos de prestação de contas, os registros, os arquivos e os controles contábeis concernentes a este CONTRATO DE GESTÃO, conforme ANEXO I, da Resolução Normativa nº. 013/2017 do Tribunal de Contas do Estado de Goiás – TCE/GO;</w:t>
      </w:r>
    </w:p>
    <w:p w14:paraId="4EAFAAF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2.52.1. Aos processos de prestação de contas não se aplicam as disposições da Lei estadual nº. 13.800/2001;</w:t>
      </w:r>
    </w:p>
    <w:p w14:paraId="443E08E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2.53. Remeter imediatamente ao PARCEIRO PÚBLICO e à Procuradoria-Geral do Estado as intimações e as notificações, administrativas e/ou judiciais, que o PARCEIRO PÚBLICO tenha interesse, com o concomitante encaminhamento das informações, dos dados e documentos necessários para a defesa dos interesses do Estado de Goiás, em juízo ou fora dele, sob pena de responsabilidade administrativa, civil e criminal daquele que deixar de fazê-lo ou se o fizer fora do prazo;</w:t>
      </w:r>
    </w:p>
    <w:p w14:paraId="1AE7D9C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2.54. Encaminhar ao PARCEIRO PÚBLICO os requerimentos e/ou notificações extrajudiciais que versem sobre fatos relacionados à unidade pública sob seu gerenciamento, independentemente da data de sua ocorrência.</w:t>
      </w:r>
    </w:p>
    <w:p w14:paraId="4B9ACE62"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2.55. Efetivar os pagamentos dos serviços de água, luz e telefone da unidade pública </w:t>
      </w:r>
      <w:r w:rsidRPr="00B84B56">
        <w:rPr>
          <w:rFonts w:eastAsia="Times New Roman"/>
          <w:color w:val="000000"/>
          <w:sz w:val="24"/>
          <w:szCs w:val="24"/>
        </w:rPr>
        <w:lastRenderedPageBreak/>
        <w:t>sob sua gestão, bem como os demais encargos incidentes, observando em todo caso a data de vencimento;</w:t>
      </w:r>
    </w:p>
    <w:p w14:paraId="0CEC61B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2.55.1 Encaminhar </w:t>
      </w:r>
      <w:r w:rsidRPr="00B84B56">
        <w:rPr>
          <w:rFonts w:eastAsia="Times New Roman"/>
          <w:color w:val="000000"/>
          <w:sz w:val="24"/>
          <w:szCs w:val="24"/>
          <w:u w:val="single"/>
        </w:rPr>
        <w:t>trimestralmente</w:t>
      </w:r>
      <w:r w:rsidRPr="00B84B56">
        <w:rPr>
          <w:rFonts w:eastAsia="Times New Roman"/>
          <w:color w:val="000000"/>
          <w:sz w:val="24"/>
          <w:szCs w:val="24"/>
        </w:rPr>
        <w:t> ao órgão supervisor os comprovantes de pagamento dos serviços de água, luz e telefone da unidade pública sob sua gestão;</w:t>
      </w:r>
    </w:p>
    <w:p w14:paraId="636C7FD7"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2.56. Responsabilizar-se pelo pagamento das taxas e tributos incidentes sobre a unidade pública sob sua gestão;</w:t>
      </w:r>
    </w:p>
    <w:p w14:paraId="5471525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2.57. Responsabilizar-se pelo pagamento de qualquer quantia decorrente de aplicação de penalidade ou sanção que decorra de sua ação ou omissão;</w:t>
      </w:r>
    </w:p>
    <w:p w14:paraId="1A6FC6E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2.58. Atender as metas pactuadas e definidas neste contrato de gestão;</w:t>
      </w:r>
    </w:p>
    <w:p w14:paraId="4D2DEE05"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 xml:space="preserve">2.59. Responsabilizar-se pela exatidão de todos os dados e informações que </w:t>
      </w:r>
      <w:proofErr w:type="spellStart"/>
      <w:r w:rsidRPr="00B84B56">
        <w:rPr>
          <w:rFonts w:eastAsia="Times New Roman"/>
          <w:color w:val="000000"/>
          <w:sz w:val="24"/>
          <w:szCs w:val="24"/>
        </w:rPr>
        <w:t>fornecer</w:t>
      </w:r>
      <w:proofErr w:type="spellEnd"/>
      <w:r w:rsidRPr="00B84B56">
        <w:rPr>
          <w:rFonts w:eastAsia="Times New Roman"/>
          <w:color w:val="000000"/>
          <w:sz w:val="24"/>
          <w:szCs w:val="24"/>
        </w:rPr>
        <w:t xml:space="preserve"> ao PARCEIRO PÚBLICO, cuja inexatidão será considerada falta grave.</w:t>
      </w:r>
    </w:p>
    <w:p w14:paraId="761123CF"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2.60. Enviar </w:t>
      </w:r>
      <w:r w:rsidRPr="00B84B56">
        <w:rPr>
          <w:rFonts w:eastAsia="Times New Roman"/>
          <w:color w:val="000000"/>
          <w:sz w:val="24"/>
          <w:szCs w:val="24"/>
          <w:u w:val="single"/>
        </w:rPr>
        <w:t>mensalmente</w:t>
      </w:r>
      <w:r w:rsidRPr="00B84B56">
        <w:rPr>
          <w:rFonts w:eastAsia="Times New Roman"/>
          <w:color w:val="000000"/>
          <w:sz w:val="24"/>
          <w:szCs w:val="24"/>
        </w:rPr>
        <w:t> à Central Informatizada de Controle dos Contratos de Gestão mídia digital contendo os registros das despesas realizadas;</w:t>
      </w:r>
    </w:p>
    <w:p w14:paraId="0A97AEEB"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2.61. Providenciar os materiais necessários à eficiente prestação dos serviços públicos objeto desta parceria;</w:t>
      </w:r>
    </w:p>
    <w:p w14:paraId="781E247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2.62. Encaminhar </w:t>
      </w:r>
      <w:r w:rsidRPr="00B84B56">
        <w:rPr>
          <w:rFonts w:eastAsia="Times New Roman"/>
          <w:color w:val="000000"/>
          <w:sz w:val="24"/>
          <w:szCs w:val="24"/>
          <w:u w:val="single"/>
        </w:rPr>
        <w:t>trimestralmente</w:t>
      </w:r>
      <w:r w:rsidRPr="00B84B56">
        <w:rPr>
          <w:rFonts w:eastAsia="Times New Roman"/>
          <w:color w:val="000000"/>
          <w:sz w:val="24"/>
          <w:szCs w:val="24"/>
        </w:rPr>
        <w:t> ao órgão supervisor o planejamento das ações que serão executadas no trimestre seguinte e os resultados das que foram executadas no trimestre anterior;</w:t>
      </w:r>
    </w:p>
    <w:p w14:paraId="3768F04C"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2.63. Sugerir ao órgão supervisor as alterações que entender proveitosas ao alcance do objeto dessa parceria;</w:t>
      </w:r>
    </w:p>
    <w:p w14:paraId="4FD76727"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2.64. Garantir aos usuários o acesso gratuito às ações e as atividades objeto da presente parceria, sendo-lhe vedada a cobrança de quaisquer contribuições ou taxas, salvo quanto às atividades artísticas e culturais, desde que os preços cobrados sejam acessíveis ao público em geral;</w:t>
      </w:r>
    </w:p>
    <w:p w14:paraId="159D315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2.65. Colaborar na execução de programas e/ou projetos que tenham correlação com o objeto deste ajuste e que sejam implementados pelo Governo Estadual e/ou em parceria com o Governo Federal e/ou outros parceiros;</w:t>
      </w:r>
    </w:p>
    <w:p w14:paraId="4A79A45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2.66. Auxiliar na celebração de convênios e/ou outros ajustes afins com o escopo de auferir recursos oriundos do Governo Federal e/ou de outros parceiros;</w:t>
      </w:r>
    </w:p>
    <w:p w14:paraId="37A2E5D1"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2.67. Atuar de forma isenta de qualquer influência partidária, religiosa e/ou filosófica, de acordo com a Constituição Federal;</w:t>
      </w:r>
    </w:p>
    <w:p w14:paraId="7F574396"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lastRenderedPageBreak/>
        <w:t>2.68. Garantir o amplo acesso ao serviço prestado, abstendo-se de quaisquer condutas restritivas e/ ou discriminatórias;</w:t>
      </w:r>
    </w:p>
    <w:p w14:paraId="51C8C85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2.69. Analisar a viabilidade técnica e/ou econômica na continuidade dos contratos e outros ajustes firmados anteriormente pelo PARCEIRO PÚBLICO e, no prazo máximo de 30 (trinta) dias a contar da assinatura deste CONTRATO DE GESTÃO, manifestar-se expressamente, junto ao PARCEIRO PÚBLICO quanto ao interesse em mantê-los;</w:t>
      </w:r>
    </w:p>
    <w:p w14:paraId="1EBA1BA7"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2.70. Responsabilizar-se pelos pagamentos das despesas dos contratos referidos no item anterior, cujo montante será glosado do valor a ser transferido;</w:t>
      </w:r>
    </w:p>
    <w:p w14:paraId="64C3A70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2.71. Alimentar diariamente os sistemas informatizados de gestão disponibilizados pelo PARCEIRO PÚBLICO com os registros relativos a todas as obrigações contraídas e pagas;</w:t>
      </w:r>
    </w:p>
    <w:p w14:paraId="40EC0E8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2.72. Manter sítio oficial na rede mundial de computadores (internet), enquanto durar o CONTRATO DE GESTÃO, onde divulgará todos os documentos relacionados e especificados nos Itens 18 a 34, do Anexo I, da Resolução Normativa nº. 13/2017, do Tribunal de Contas do Estado de Goiás – TCE/GO, e conforme trata a Lei estadual nº. 15.503/2005.</w:t>
      </w:r>
    </w:p>
    <w:p w14:paraId="3AF5964D"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2.73. Empreender meios de obter fontes extras de receitas e complementares aos recursos financeiros transferidos pelo PARCEIRO PÚBLICO para serem aplicadas no melhoramento das unidades públicas sob seu gerenciamento.</w:t>
      </w:r>
    </w:p>
    <w:p w14:paraId="7A93D239"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2.74. Cumprir todas as obrigações descritas no Anexo Técnico e na Proposta Técnica apresentada.</w:t>
      </w:r>
    </w:p>
    <w:p w14:paraId="13F4D523"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2.75. Todos os comprovantes de despesas deverão conter em seu corpo a especificação da correlata unidade pública e do contrato de gestão a que alude, a confirmação pelo PARCEIRO PRIVADO o recebimento do material ou da prestação dos serviços, bem como a informação de que o referido documento foi contabilizado e pago.</w:t>
      </w:r>
    </w:p>
    <w:p w14:paraId="32A16014"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2.76. Cumprir rigorosamente a Lei estadual nº. 15.503/2005, inclusive quanto:</w:t>
      </w:r>
    </w:p>
    <w:p w14:paraId="73EFBA3A" w14:textId="77777777" w:rsidR="00B84B56" w:rsidRPr="00B84B56" w:rsidRDefault="00B84B56" w:rsidP="00B84B56">
      <w:pPr>
        <w:spacing w:before="120" w:after="120" w:line="360" w:lineRule="auto"/>
        <w:ind w:left="120" w:right="120"/>
        <w:jc w:val="both"/>
        <w:rPr>
          <w:rFonts w:eastAsia="Times New Roman"/>
          <w:color w:val="000000"/>
          <w:sz w:val="24"/>
          <w:szCs w:val="24"/>
        </w:rPr>
      </w:pPr>
      <w:r w:rsidRPr="00B84B56">
        <w:rPr>
          <w:rFonts w:eastAsia="Times New Roman"/>
          <w:color w:val="000000"/>
          <w:sz w:val="24"/>
          <w:szCs w:val="24"/>
        </w:rPr>
        <w:t>2.77. Ao PARCEIRO PRIVADO é expressamente vedada a utilização do prédio da unidade pública como sua sede principal ou acessória, bem como utilizar recursos financeiros oriundos deste CONTRATO DE GESTÃO para a manutenção de sua sede em outro local, salvo no caso de rateio de despesas administrativas referidas no item 7.9.</w:t>
      </w:r>
    </w:p>
    <w:p w14:paraId="4EC8308A" w14:textId="77777777" w:rsidR="00176420" w:rsidRDefault="00176420" w:rsidP="00E315D7">
      <w:pPr>
        <w:spacing w:before="120" w:after="120"/>
        <w:ind w:left="4380" w:right="120"/>
        <w:jc w:val="both"/>
        <w:rPr>
          <w:rFonts w:eastAsia="Times New Roman"/>
          <w:b/>
          <w:bCs/>
          <w:color w:val="000000"/>
          <w:sz w:val="20"/>
          <w:szCs w:val="20"/>
          <w:u w:val="single"/>
        </w:rPr>
      </w:pPr>
    </w:p>
    <w:p w14:paraId="70FB0681" w14:textId="77777777" w:rsidR="00B84B56" w:rsidRDefault="00B84B56" w:rsidP="00E315D7">
      <w:pPr>
        <w:spacing w:before="120" w:after="120"/>
        <w:ind w:left="4380" w:right="120"/>
        <w:jc w:val="both"/>
        <w:rPr>
          <w:rFonts w:eastAsia="Times New Roman"/>
          <w:b/>
          <w:bCs/>
          <w:color w:val="000000"/>
          <w:sz w:val="20"/>
          <w:szCs w:val="20"/>
          <w:u w:val="single"/>
        </w:rPr>
      </w:pPr>
    </w:p>
    <w:p w14:paraId="6935840A" w14:textId="78F1AB33" w:rsidR="00E315D7" w:rsidRDefault="007E7D6A" w:rsidP="00E315D7">
      <w:pPr>
        <w:spacing w:before="120" w:after="120"/>
        <w:ind w:left="4380" w:right="120"/>
        <w:jc w:val="both"/>
        <w:rPr>
          <w:rFonts w:eastAsia="Times New Roman"/>
          <w:b/>
          <w:bCs/>
          <w:color w:val="000000"/>
          <w:sz w:val="20"/>
          <w:szCs w:val="20"/>
          <w:u w:val="single"/>
        </w:rPr>
      </w:pPr>
      <w:r w:rsidRPr="002005B4">
        <w:rPr>
          <w:rFonts w:eastAsia="Times New Roman"/>
          <w:b/>
          <w:bCs/>
          <w:color w:val="000000"/>
          <w:sz w:val="20"/>
          <w:szCs w:val="20"/>
          <w:u w:val="single"/>
        </w:rPr>
        <w:t>Contrato</w:t>
      </w:r>
      <w:r w:rsidR="00E21F0C">
        <w:rPr>
          <w:rFonts w:eastAsia="Times New Roman"/>
          <w:b/>
          <w:bCs/>
          <w:color w:val="000000"/>
          <w:sz w:val="20"/>
          <w:szCs w:val="20"/>
          <w:u w:val="single"/>
        </w:rPr>
        <w:t xml:space="preserve"> de</w:t>
      </w:r>
      <w:r w:rsidRPr="002005B4">
        <w:rPr>
          <w:rFonts w:eastAsia="Times New Roman"/>
          <w:b/>
          <w:bCs/>
          <w:color w:val="000000"/>
          <w:sz w:val="20"/>
          <w:szCs w:val="20"/>
          <w:u w:val="single"/>
        </w:rPr>
        <w:t xml:space="preserve"> Gestão nº 51/2020-SES/GO/2020 – SES</w:t>
      </w:r>
      <w:r w:rsidR="007B2156">
        <w:rPr>
          <w:rFonts w:eastAsia="Times New Roman"/>
          <w:b/>
          <w:bCs/>
          <w:color w:val="000000"/>
          <w:sz w:val="20"/>
          <w:szCs w:val="20"/>
          <w:u w:val="single"/>
        </w:rPr>
        <w:t xml:space="preserve"> </w:t>
      </w:r>
    </w:p>
    <w:p w14:paraId="4517532B" w14:textId="19784233" w:rsidR="007E7D6A" w:rsidRPr="007B2156" w:rsidRDefault="00E315D7" w:rsidP="00E315D7">
      <w:pPr>
        <w:spacing w:before="120" w:after="120"/>
        <w:ind w:left="3660" w:right="120" w:firstLine="720"/>
        <w:jc w:val="both"/>
        <w:rPr>
          <w:rFonts w:eastAsia="Times New Roman"/>
          <w:bCs/>
          <w:color w:val="000000"/>
          <w:sz w:val="20"/>
          <w:szCs w:val="20"/>
        </w:rPr>
      </w:pPr>
      <w:r>
        <w:rPr>
          <w:rFonts w:eastAsia="Times New Roman"/>
          <w:bCs/>
          <w:color w:val="000000"/>
          <w:sz w:val="20"/>
          <w:szCs w:val="20"/>
        </w:rPr>
        <w:t xml:space="preserve">                   I</w:t>
      </w:r>
      <w:r w:rsidR="007B2156">
        <w:rPr>
          <w:rFonts w:eastAsia="Times New Roman"/>
          <w:bCs/>
          <w:color w:val="000000"/>
          <w:sz w:val="20"/>
          <w:szCs w:val="20"/>
        </w:rPr>
        <w:t>nício da vigência em</w:t>
      </w:r>
      <w:r>
        <w:rPr>
          <w:rFonts w:eastAsia="Times New Roman"/>
          <w:bCs/>
          <w:color w:val="000000"/>
          <w:sz w:val="20"/>
          <w:szCs w:val="20"/>
        </w:rPr>
        <w:t xml:space="preserve">: </w:t>
      </w:r>
      <w:r w:rsidR="00042276">
        <w:rPr>
          <w:rFonts w:eastAsia="Times New Roman"/>
          <w:bCs/>
          <w:color w:val="000000"/>
          <w:sz w:val="20"/>
          <w:szCs w:val="20"/>
        </w:rPr>
        <w:t>04</w:t>
      </w:r>
      <w:r>
        <w:rPr>
          <w:rFonts w:eastAsia="Times New Roman"/>
          <w:bCs/>
          <w:color w:val="000000"/>
          <w:sz w:val="20"/>
          <w:szCs w:val="20"/>
        </w:rPr>
        <w:t>/1</w:t>
      </w:r>
      <w:r w:rsidR="00042276">
        <w:rPr>
          <w:rFonts w:eastAsia="Times New Roman"/>
          <w:bCs/>
          <w:color w:val="000000"/>
          <w:sz w:val="20"/>
          <w:szCs w:val="20"/>
        </w:rPr>
        <w:t>1</w:t>
      </w:r>
      <w:r>
        <w:rPr>
          <w:rFonts w:eastAsia="Times New Roman"/>
          <w:bCs/>
          <w:color w:val="000000"/>
          <w:sz w:val="20"/>
          <w:szCs w:val="20"/>
        </w:rPr>
        <w:t>/2020</w:t>
      </w:r>
    </w:p>
    <w:p w14:paraId="2ADE62CD" w14:textId="35906004" w:rsidR="007E7D6A" w:rsidRDefault="00E315D7" w:rsidP="007E7D6A">
      <w:pPr>
        <w:spacing w:before="159"/>
        <w:ind w:left="601" w:right="74"/>
      </w:pPr>
      <w:r>
        <w:t xml:space="preserve">                                                                                           </w:t>
      </w:r>
    </w:p>
    <w:p w14:paraId="30812592" w14:textId="77777777" w:rsidR="0097103D" w:rsidRDefault="0097103D">
      <w:pPr>
        <w:pStyle w:val="Corpodetexto"/>
        <w:ind w:left="0"/>
        <w:jc w:val="left"/>
        <w:rPr>
          <w:sz w:val="22"/>
        </w:rPr>
      </w:pPr>
    </w:p>
    <w:p w14:paraId="658B165F" w14:textId="77777777" w:rsidR="002005B4" w:rsidRDefault="00176420">
      <w:pPr>
        <w:pStyle w:val="Corpodetexto"/>
        <w:ind w:left="0"/>
        <w:jc w:val="left"/>
        <w:rPr>
          <w:sz w:val="22"/>
        </w:rPr>
      </w:pPr>
      <w:r>
        <w:rPr>
          <w:sz w:val="22"/>
        </w:rPr>
        <w:t xml:space="preserve"> </w:t>
      </w:r>
    </w:p>
    <w:p w14:paraId="23E62D87" w14:textId="77777777" w:rsidR="00176420" w:rsidRDefault="00176420">
      <w:pPr>
        <w:pStyle w:val="Corpodetexto"/>
        <w:ind w:left="0"/>
        <w:jc w:val="left"/>
        <w:rPr>
          <w:sz w:val="22"/>
        </w:rPr>
      </w:pPr>
    </w:p>
    <w:p w14:paraId="506D66EA" w14:textId="77777777" w:rsidR="00176420" w:rsidRDefault="00176420">
      <w:pPr>
        <w:pStyle w:val="Corpodetexto"/>
        <w:ind w:left="0"/>
        <w:jc w:val="left"/>
        <w:rPr>
          <w:sz w:val="22"/>
        </w:rPr>
      </w:pPr>
    </w:p>
    <w:p w14:paraId="1011F4CE" w14:textId="77777777" w:rsidR="00176420" w:rsidRDefault="00176420">
      <w:pPr>
        <w:pStyle w:val="Corpodetexto"/>
        <w:ind w:left="0"/>
        <w:jc w:val="left"/>
        <w:rPr>
          <w:sz w:val="22"/>
        </w:rPr>
      </w:pPr>
    </w:p>
    <w:p w14:paraId="1BE9357D" w14:textId="77777777" w:rsidR="00176420" w:rsidRDefault="00176420">
      <w:pPr>
        <w:pStyle w:val="Corpodetexto"/>
        <w:ind w:left="0"/>
        <w:jc w:val="left"/>
        <w:rPr>
          <w:sz w:val="22"/>
        </w:rPr>
      </w:pPr>
    </w:p>
    <w:p w14:paraId="5CB5CE28" w14:textId="4546E9FE" w:rsidR="002005B4" w:rsidRDefault="002005B4" w:rsidP="00E315D7">
      <w:pPr>
        <w:pStyle w:val="Corpodetexto"/>
        <w:ind w:left="0"/>
        <w:rPr>
          <w:sz w:val="22"/>
        </w:rPr>
      </w:pPr>
      <w:r>
        <w:rPr>
          <w:sz w:val="22"/>
        </w:rPr>
        <w:tab/>
      </w:r>
      <w:r>
        <w:rPr>
          <w:sz w:val="22"/>
        </w:rPr>
        <w:tab/>
      </w:r>
      <w:r>
        <w:rPr>
          <w:sz w:val="22"/>
        </w:rPr>
        <w:tab/>
      </w:r>
      <w:r>
        <w:rPr>
          <w:sz w:val="22"/>
        </w:rPr>
        <w:tab/>
      </w:r>
      <w:r>
        <w:rPr>
          <w:sz w:val="22"/>
        </w:rPr>
        <w:tab/>
      </w:r>
      <w:r>
        <w:rPr>
          <w:sz w:val="22"/>
        </w:rPr>
        <w:tab/>
      </w:r>
      <w:r w:rsidR="00E315D7">
        <w:rPr>
          <w:sz w:val="22"/>
        </w:rPr>
        <w:t xml:space="preserve">         </w:t>
      </w:r>
      <w:r>
        <w:rPr>
          <w:sz w:val="22"/>
        </w:rPr>
        <w:t xml:space="preserve">    </w:t>
      </w:r>
      <w:r w:rsidR="00E315D7">
        <w:rPr>
          <w:sz w:val="22"/>
        </w:rPr>
        <w:t xml:space="preserve">  </w:t>
      </w:r>
      <w:r>
        <w:rPr>
          <w:sz w:val="22"/>
        </w:rPr>
        <w:t xml:space="preserve">Goiânia, </w:t>
      </w:r>
      <w:r w:rsidR="00782679">
        <w:rPr>
          <w:sz w:val="22"/>
        </w:rPr>
        <w:t>08</w:t>
      </w:r>
      <w:r>
        <w:rPr>
          <w:sz w:val="22"/>
        </w:rPr>
        <w:t xml:space="preserve"> de </w:t>
      </w:r>
      <w:r w:rsidR="00782679">
        <w:rPr>
          <w:sz w:val="22"/>
        </w:rPr>
        <w:t>janeiro</w:t>
      </w:r>
      <w:r>
        <w:rPr>
          <w:sz w:val="22"/>
        </w:rPr>
        <w:t xml:space="preserve"> de 2020</w:t>
      </w:r>
    </w:p>
    <w:p w14:paraId="45B2B4E4" w14:textId="2E6545B4" w:rsidR="0097103D" w:rsidRDefault="0097103D">
      <w:pPr>
        <w:pStyle w:val="Ttulo1"/>
        <w:spacing w:before="145"/>
        <w:ind w:left="5100"/>
      </w:pPr>
    </w:p>
    <w:p w14:paraId="7E2FDC82" w14:textId="77777777" w:rsidR="00782679" w:rsidRDefault="00782679">
      <w:pPr>
        <w:pStyle w:val="Ttulo1"/>
        <w:spacing w:before="145"/>
        <w:ind w:left="5100"/>
      </w:pPr>
    </w:p>
    <w:tbl>
      <w:tblPr>
        <w:tblpPr w:leftFromText="141" w:rightFromText="141" w:vertAnchor="text" w:horzAnchor="page" w:tblpX="7051" w:tblpY="303"/>
        <w:tblW w:w="2860" w:type="dxa"/>
        <w:tblCellMar>
          <w:left w:w="70" w:type="dxa"/>
          <w:right w:w="70" w:type="dxa"/>
        </w:tblCellMar>
        <w:tblLook w:val="04A0" w:firstRow="1" w:lastRow="0" w:firstColumn="1" w:lastColumn="0" w:noHBand="0" w:noVBand="1"/>
      </w:tblPr>
      <w:tblGrid>
        <w:gridCol w:w="2860"/>
      </w:tblGrid>
      <w:tr w:rsidR="00E315D7" w:rsidRPr="002005B4" w14:paraId="67AA94F3" w14:textId="77777777" w:rsidTr="00E315D7">
        <w:trPr>
          <w:trHeight w:val="300"/>
        </w:trPr>
        <w:tc>
          <w:tcPr>
            <w:tcW w:w="2860" w:type="dxa"/>
            <w:tcBorders>
              <w:top w:val="nil"/>
              <w:left w:val="nil"/>
              <w:bottom w:val="nil"/>
              <w:right w:val="nil"/>
            </w:tcBorders>
            <w:shd w:val="clear" w:color="auto" w:fill="auto"/>
            <w:noWrap/>
            <w:vAlign w:val="bottom"/>
            <w:hideMark/>
          </w:tcPr>
          <w:p w14:paraId="73D258EE"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JEZIEL BARBOSA FERREIRA</w:t>
            </w:r>
          </w:p>
        </w:tc>
      </w:tr>
      <w:tr w:rsidR="00E315D7" w:rsidRPr="002005B4" w14:paraId="0F66145D" w14:textId="77777777" w:rsidTr="00E315D7">
        <w:trPr>
          <w:trHeight w:val="300"/>
        </w:trPr>
        <w:tc>
          <w:tcPr>
            <w:tcW w:w="2860" w:type="dxa"/>
            <w:tcBorders>
              <w:top w:val="nil"/>
              <w:left w:val="nil"/>
              <w:bottom w:val="nil"/>
              <w:right w:val="nil"/>
            </w:tcBorders>
            <w:shd w:val="clear" w:color="auto" w:fill="auto"/>
            <w:noWrap/>
            <w:vAlign w:val="bottom"/>
            <w:hideMark/>
          </w:tcPr>
          <w:p w14:paraId="16211D19"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DIRETOR PRESIDENTE</w:t>
            </w:r>
          </w:p>
        </w:tc>
      </w:tr>
      <w:tr w:rsidR="00E315D7" w:rsidRPr="002005B4" w14:paraId="475B8CF6" w14:textId="77777777" w:rsidTr="00E315D7">
        <w:trPr>
          <w:trHeight w:val="300"/>
        </w:trPr>
        <w:tc>
          <w:tcPr>
            <w:tcW w:w="2860" w:type="dxa"/>
            <w:tcBorders>
              <w:top w:val="nil"/>
              <w:left w:val="nil"/>
              <w:bottom w:val="nil"/>
              <w:right w:val="nil"/>
            </w:tcBorders>
            <w:shd w:val="clear" w:color="auto" w:fill="auto"/>
            <w:noWrap/>
            <w:vAlign w:val="bottom"/>
            <w:hideMark/>
          </w:tcPr>
          <w:p w14:paraId="5A27E3D0" w14:textId="77777777" w:rsidR="00E315D7" w:rsidRPr="002005B4" w:rsidRDefault="00E315D7" w:rsidP="00E315D7">
            <w:pPr>
              <w:widowControl/>
              <w:autoSpaceDE/>
              <w:autoSpaceDN/>
              <w:jc w:val="center"/>
              <w:rPr>
                <w:rFonts w:ascii="Calibri" w:eastAsia="Times New Roman" w:hAnsi="Calibri" w:cs="Calibri"/>
                <w:b/>
                <w:bCs/>
                <w:color w:val="000000"/>
                <w:lang w:bidi="ar-SA"/>
              </w:rPr>
            </w:pPr>
            <w:r w:rsidRPr="002005B4">
              <w:rPr>
                <w:rFonts w:ascii="Calibri" w:eastAsia="Times New Roman" w:hAnsi="Calibri" w:cs="Calibri"/>
                <w:b/>
                <w:bCs/>
                <w:color w:val="000000"/>
                <w:lang w:bidi="ar-SA"/>
              </w:rPr>
              <w:t>INSTITUTO CEM</w:t>
            </w:r>
          </w:p>
        </w:tc>
      </w:tr>
      <w:tr w:rsidR="00E315D7" w:rsidRPr="002005B4" w14:paraId="6E23AE94" w14:textId="77777777" w:rsidTr="00E315D7">
        <w:trPr>
          <w:trHeight w:val="300"/>
        </w:trPr>
        <w:tc>
          <w:tcPr>
            <w:tcW w:w="2860" w:type="dxa"/>
            <w:tcBorders>
              <w:top w:val="nil"/>
              <w:left w:val="nil"/>
              <w:bottom w:val="nil"/>
              <w:right w:val="nil"/>
            </w:tcBorders>
            <w:shd w:val="clear" w:color="auto" w:fill="auto"/>
            <w:noWrap/>
            <w:vAlign w:val="bottom"/>
          </w:tcPr>
          <w:p w14:paraId="1E3B9083" w14:textId="77777777" w:rsidR="00E315D7" w:rsidRPr="002005B4" w:rsidRDefault="00E315D7" w:rsidP="00E315D7">
            <w:pPr>
              <w:widowControl/>
              <w:autoSpaceDE/>
              <w:autoSpaceDN/>
              <w:jc w:val="center"/>
              <w:rPr>
                <w:rFonts w:ascii="Calibri" w:eastAsia="Times New Roman" w:hAnsi="Calibri" w:cs="Calibri"/>
                <w:b/>
                <w:bCs/>
                <w:color w:val="000000"/>
                <w:lang w:bidi="ar-SA"/>
              </w:rPr>
            </w:pPr>
          </w:p>
        </w:tc>
      </w:tr>
    </w:tbl>
    <w:p w14:paraId="69ED5E6C" w14:textId="4C8B8838" w:rsidR="002005B4" w:rsidRDefault="002005B4">
      <w:pPr>
        <w:pStyle w:val="Ttulo1"/>
        <w:spacing w:before="145"/>
        <w:ind w:left="5100"/>
      </w:pPr>
    </w:p>
    <w:p w14:paraId="1FF5A91B" w14:textId="77777777" w:rsidR="00782679" w:rsidRDefault="00782679">
      <w:pPr>
        <w:pStyle w:val="Ttulo1"/>
        <w:spacing w:before="145"/>
        <w:ind w:left="5100"/>
      </w:pPr>
    </w:p>
    <w:p w14:paraId="524C3C69" w14:textId="77777777" w:rsidR="00E315D7" w:rsidRDefault="002005B4" w:rsidP="002005B4">
      <w:pPr>
        <w:tabs>
          <w:tab w:val="left" w:pos="9356"/>
        </w:tabs>
        <w:ind w:right="74"/>
        <w:rPr>
          <w:b/>
          <w:sz w:val="23"/>
          <w:szCs w:val="24"/>
        </w:rPr>
      </w:pPr>
      <w:r>
        <w:rPr>
          <w:b/>
          <w:sz w:val="23"/>
          <w:szCs w:val="24"/>
        </w:rPr>
        <w:t xml:space="preserve">                                                                                                  </w:t>
      </w:r>
      <w:r w:rsidR="007B2156">
        <w:rPr>
          <w:b/>
          <w:sz w:val="23"/>
          <w:szCs w:val="24"/>
        </w:rPr>
        <w:t xml:space="preserve">  </w:t>
      </w:r>
    </w:p>
    <w:p w14:paraId="51B6668E" w14:textId="77777777" w:rsidR="00E315D7" w:rsidRDefault="00E315D7" w:rsidP="002005B4">
      <w:pPr>
        <w:tabs>
          <w:tab w:val="left" w:pos="9356"/>
        </w:tabs>
        <w:ind w:right="74"/>
        <w:rPr>
          <w:b/>
          <w:sz w:val="23"/>
          <w:szCs w:val="24"/>
        </w:rPr>
      </w:pPr>
    </w:p>
    <w:p w14:paraId="5D892A54" w14:textId="77777777" w:rsidR="00E315D7" w:rsidRDefault="00E315D7" w:rsidP="002005B4">
      <w:pPr>
        <w:tabs>
          <w:tab w:val="left" w:pos="9356"/>
        </w:tabs>
        <w:ind w:right="74"/>
        <w:rPr>
          <w:b/>
          <w:sz w:val="23"/>
          <w:szCs w:val="24"/>
        </w:rPr>
      </w:pPr>
    </w:p>
    <w:p w14:paraId="7229C310" w14:textId="77777777" w:rsidR="00E315D7" w:rsidRDefault="00E315D7" w:rsidP="002005B4">
      <w:pPr>
        <w:tabs>
          <w:tab w:val="left" w:pos="9356"/>
        </w:tabs>
        <w:ind w:right="74"/>
        <w:rPr>
          <w:b/>
          <w:sz w:val="23"/>
          <w:szCs w:val="24"/>
        </w:rPr>
      </w:pPr>
    </w:p>
    <w:p w14:paraId="472D21E4" w14:textId="77777777" w:rsidR="0097103D" w:rsidRPr="002005B4" w:rsidRDefault="0097103D" w:rsidP="00E315D7">
      <w:pPr>
        <w:tabs>
          <w:tab w:val="left" w:pos="9356"/>
        </w:tabs>
        <w:ind w:right="74"/>
        <w:jc w:val="right"/>
        <w:rPr>
          <w:sz w:val="18"/>
        </w:rPr>
      </w:pPr>
    </w:p>
    <w:sectPr w:rsidR="0097103D" w:rsidRPr="002005B4">
      <w:headerReference w:type="default" r:id="rId7"/>
      <w:footerReference w:type="default" r:id="rId8"/>
      <w:pgSz w:w="11910" w:h="16850"/>
      <w:pgMar w:top="1620" w:right="1020" w:bottom="920" w:left="1460" w:header="11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6863" w14:textId="77777777" w:rsidR="00F663C1" w:rsidRDefault="00F663C1">
      <w:r>
        <w:separator/>
      </w:r>
    </w:p>
  </w:endnote>
  <w:endnote w:type="continuationSeparator" w:id="0">
    <w:p w14:paraId="0C8841AF" w14:textId="77777777" w:rsidR="00F663C1" w:rsidRDefault="00F6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95D9" w14:textId="77777777" w:rsidR="0097103D" w:rsidRDefault="002005B4">
    <w:pPr>
      <w:pStyle w:val="Corpodetexto"/>
      <w:spacing w:line="14" w:lineRule="auto"/>
      <w:ind w:left="0"/>
      <w:jc w:val="left"/>
      <w:rPr>
        <w:sz w:val="20"/>
      </w:rPr>
    </w:pPr>
    <w:r>
      <w:rPr>
        <w:noProof/>
        <w:lang w:bidi="ar-SA"/>
      </w:rPr>
      <mc:AlternateContent>
        <mc:Choice Requires="wps">
          <w:drawing>
            <wp:anchor distT="0" distB="0" distL="114300" distR="114300" simplePos="0" relativeHeight="251658752" behindDoc="1" locked="0" layoutInCell="1" allowOverlap="1" wp14:anchorId="3C865BEA" wp14:editId="0980FD86">
              <wp:simplePos x="0" y="0"/>
              <wp:positionH relativeFrom="page">
                <wp:posOffset>6753225</wp:posOffset>
              </wp:positionH>
              <wp:positionV relativeFrom="page">
                <wp:posOffset>10095865</wp:posOffset>
              </wp:positionV>
              <wp:extent cx="1149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52B" w14:textId="77777777" w:rsidR="0097103D" w:rsidRDefault="00076676">
                          <w:pPr>
                            <w:spacing w:before="14"/>
                            <w:ind w:left="40"/>
                            <w:rPr>
                              <w:sz w:val="18"/>
                            </w:rPr>
                          </w:pPr>
                          <w:r>
                            <w:fldChar w:fldCharType="begin"/>
                          </w:r>
                          <w:r>
                            <w:rPr>
                              <w:w w:val="99"/>
                              <w:sz w:val="18"/>
                            </w:rPr>
                            <w:instrText xml:space="preserve"> PAGE </w:instrText>
                          </w:r>
                          <w:r>
                            <w:fldChar w:fldCharType="separate"/>
                          </w:r>
                          <w:r w:rsidR="0036453C">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65BEA" id="_x0000_t202" coordsize="21600,21600" o:spt="202" path="m,l,21600r21600,l21600,xe">
              <v:stroke joinstyle="miter"/>
              <v:path gradientshapeok="t" o:connecttype="rect"/>
            </v:shapetype>
            <v:shape id="Text Box 1" o:spid="_x0000_s1026" type="#_x0000_t202" style="position:absolute;margin-left:531.75pt;margin-top:794.95pt;width:9.05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" filled="f" stroked="f">
              <v:textbox inset="0,0,0,0">
                <w:txbxContent>
                  <w:p w14:paraId="348AA52B" w14:textId="77777777" w:rsidR="0097103D" w:rsidRDefault="00076676">
                    <w:pPr>
                      <w:spacing w:before="14"/>
                      <w:ind w:left="40"/>
                      <w:rPr>
                        <w:sz w:val="18"/>
                      </w:rPr>
                    </w:pPr>
                    <w:r>
                      <w:fldChar w:fldCharType="begin"/>
                    </w:r>
                    <w:r>
                      <w:rPr>
                        <w:w w:val="99"/>
                        <w:sz w:val="18"/>
                      </w:rPr>
                      <w:instrText xml:space="preserve"> PAGE </w:instrText>
                    </w:r>
                    <w:r>
                      <w:fldChar w:fldCharType="separate"/>
                    </w:r>
                    <w:r w:rsidR="0036453C">
                      <w:rPr>
                        <w:noProof/>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66E7" w14:textId="77777777" w:rsidR="00F663C1" w:rsidRDefault="00F663C1">
      <w:r>
        <w:separator/>
      </w:r>
    </w:p>
  </w:footnote>
  <w:footnote w:type="continuationSeparator" w:id="0">
    <w:p w14:paraId="26923526" w14:textId="77777777" w:rsidR="00F663C1" w:rsidRDefault="00F6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4CD4" w14:textId="77777777" w:rsidR="0097103D" w:rsidRDefault="0097103D" w:rsidP="003D3BA8">
    <w:pPr>
      <w:pStyle w:val="Cabealho"/>
    </w:pPr>
  </w:p>
  <w:p w14:paraId="30EDB3AB" w14:textId="40ADEC28" w:rsidR="005C47C6" w:rsidRPr="00B4454A" w:rsidRDefault="005C47C6" w:rsidP="005C47C6">
    <w:pPr>
      <w:pStyle w:val="Rodap"/>
      <w:rPr>
        <w:sz w:val="14"/>
        <w:szCs w:val="14"/>
      </w:rPr>
    </w:pPr>
    <w:r>
      <w:rPr>
        <w:noProof/>
      </w:rPr>
      <w:drawing>
        <wp:anchor distT="0" distB="0" distL="114300" distR="114300" simplePos="0" relativeHeight="251660800" behindDoc="0" locked="0" layoutInCell="1" allowOverlap="1" wp14:anchorId="2C8F98D1" wp14:editId="1BE651EF">
          <wp:simplePos x="0" y="0"/>
          <wp:positionH relativeFrom="column">
            <wp:posOffset>4556760</wp:posOffset>
          </wp:positionH>
          <wp:positionV relativeFrom="paragraph">
            <wp:posOffset>-12700</wp:posOffset>
          </wp:positionV>
          <wp:extent cx="1273175" cy="692150"/>
          <wp:effectExtent l="0" t="0" r="3175" b="0"/>
          <wp:wrapSquare wrapText="bothSides"/>
          <wp:docPr id="3" name="Imagem 1" descr="logo i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cem"/>
                  <pic:cNvPicPr>
                    <a:picLocks noChangeAspect="1" noChangeArrowheads="1"/>
                  </pic:cNvPicPr>
                </pic:nvPicPr>
                <pic:blipFill>
                  <a:blip r:embed="rId1"/>
                  <a:srcRect/>
                  <a:stretch>
                    <a:fillRect/>
                  </a:stretch>
                </pic:blipFill>
                <pic:spPr bwMode="auto">
                  <a:xfrm>
                    <a:off x="0" y="0"/>
                    <a:ext cx="1273175" cy="69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16"/>
        <w:szCs w:val="16"/>
      </w:rPr>
      <w:t>A</w:t>
    </w:r>
    <w:r w:rsidRPr="00B4454A">
      <w:rPr>
        <w:sz w:val="14"/>
        <w:szCs w:val="14"/>
      </w:rPr>
      <w:t xml:space="preserve">v. </w:t>
    </w:r>
    <w:proofErr w:type="spellStart"/>
    <w:r w:rsidRPr="00B4454A">
      <w:rPr>
        <w:sz w:val="14"/>
        <w:szCs w:val="14"/>
      </w:rPr>
      <w:t>DeputadoJamel</w:t>
    </w:r>
    <w:proofErr w:type="spellEnd"/>
    <w:r w:rsidRPr="00B4454A">
      <w:rPr>
        <w:sz w:val="14"/>
        <w:szCs w:val="14"/>
      </w:rPr>
      <w:t xml:space="preserve"> Cecílio, 2496, Quadra B 22, </w:t>
    </w:r>
  </w:p>
  <w:p w14:paraId="2A126A7C" w14:textId="77777777" w:rsidR="005C47C6" w:rsidRPr="00B4454A" w:rsidRDefault="005C47C6" w:rsidP="005C47C6">
    <w:pPr>
      <w:pStyle w:val="Rodap"/>
      <w:rPr>
        <w:sz w:val="14"/>
        <w:szCs w:val="14"/>
      </w:rPr>
    </w:pPr>
    <w:r w:rsidRPr="00B4454A">
      <w:rPr>
        <w:sz w:val="14"/>
        <w:szCs w:val="14"/>
      </w:rPr>
      <w:t xml:space="preserve">L. 4E, Sala 26-A </w:t>
    </w:r>
    <w:proofErr w:type="spellStart"/>
    <w:r w:rsidRPr="00B4454A">
      <w:rPr>
        <w:sz w:val="14"/>
        <w:szCs w:val="14"/>
      </w:rPr>
      <w:t>EDIF.New</w:t>
    </w:r>
    <w:proofErr w:type="spellEnd"/>
    <w:r w:rsidRPr="00B4454A">
      <w:rPr>
        <w:sz w:val="14"/>
        <w:szCs w:val="14"/>
      </w:rPr>
      <w:t xml:space="preserve"> Business, </w:t>
    </w:r>
    <w:proofErr w:type="spellStart"/>
    <w:proofErr w:type="gramStart"/>
    <w:r w:rsidRPr="00B4454A">
      <w:rPr>
        <w:sz w:val="14"/>
        <w:szCs w:val="14"/>
      </w:rPr>
      <w:t>Jd.Goiás</w:t>
    </w:r>
    <w:proofErr w:type="spellEnd"/>
    <w:proofErr w:type="gramEnd"/>
  </w:p>
  <w:p w14:paraId="1F8BD5D7" w14:textId="77777777" w:rsidR="005C47C6" w:rsidRPr="00B4454A" w:rsidRDefault="005C47C6" w:rsidP="005C47C6">
    <w:pPr>
      <w:pStyle w:val="Rodap"/>
      <w:rPr>
        <w:sz w:val="14"/>
        <w:szCs w:val="14"/>
        <w:lang w:val="en-US"/>
      </w:rPr>
    </w:pPr>
    <w:r w:rsidRPr="00B4454A">
      <w:rPr>
        <w:sz w:val="14"/>
        <w:szCs w:val="14"/>
        <w:lang w:val="en-US"/>
      </w:rPr>
      <w:t xml:space="preserve">CEP 74.810-100, </w:t>
    </w:r>
    <w:proofErr w:type="spellStart"/>
    <w:r w:rsidRPr="00B4454A">
      <w:rPr>
        <w:sz w:val="14"/>
        <w:szCs w:val="14"/>
        <w:lang w:val="en-US"/>
      </w:rPr>
      <w:t>Goiânia</w:t>
    </w:r>
    <w:proofErr w:type="spellEnd"/>
    <w:r w:rsidRPr="00B4454A">
      <w:rPr>
        <w:sz w:val="14"/>
        <w:szCs w:val="14"/>
        <w:lang w:val="en-US"/>
      </w:rPr>
      <w:t>/</w:t>
    </w:r>
    <w:proofErr w:type="spellStart"/>
    <w:r w:rsidRPr="00B4454A">
      <w:rPr>
        <w:sz w:val="14"/>
        <w:szCs w:val="14"/>
        <w:lang w:val="en-US"/>
      </w:rPr>
      <w:t>GOtel</w:t>
    </w:r>
    <w:proofErr w:type="spellEnd"/>
    <w:r w:rsidRPr="00B4454A">
      <w:rPr>
        <w:sz w:val="14"/>
        <w:szCs w:val="14"/>
        <w:lang w:val="en-US"/>
      </w:rPr>
      <w:t>: (62) 3922.5225</w:t>
    </w:r>
  </w:p>
  <w:p w14:paraId="529754D3" w14:textId="77777777" w:rsidR="005C47C6" w:rsidRPr="00B4454A" w:rsidRDefault="00F663C1" w:rsidP="005C47C6">
    <w:pPr>
      <w:pStyle w:val="Rodap"/>
      <w:rPr>
        <w:sz w:val="14"/>
        <w:szCs w:val="14"/>
        <w:lang w:val="en-US"/>
      </w:rPr>
    </w:pPr>
    <w:hyperlink r:id="rId2" w:history="1">
      <w:r w:rsidR="005C47C6" w:rsidRPr="00B4454A">
        <w:rPr>
          <w:rStyle w:val="Hyperlink"/>
          <w:b/>
          <w:sz w:val="14"/>
          <w:szCs w:val="14"/>
          <w:lang w:val="en-US"/>
        </w:rPr>
        <w:t>http://www.institutocem.org.br</w:t>
      </w:r>
    </w:hyperlink>
  </w:p>
  <w:p w14:paraId="129DF394" w14:textId="77777777" w:rsidR="005C47C6" w:rsidRPr="00FF645A" w:rsidRDefault="005C47C6" w:rsidP="005C47C6">
    <w:pPr>
      <w:pStyle w:val="Cabealho"/>
      <w:tabs>
        <w:tab w:val="clear" w:pos="4252"/>
        <w:tab w:val="clear" w:pos="8504"/>
        <w:tab w:val="left" w:pos="3125"/>
      </w:tabs>
      <w:rPr>
        <w:lang w:val="en-US"/>
      </w:rPr>
    </w:pPr>
  </w:p>
  <w:p w14:paraId="4C7549EA" w14:textId="50962ED6" w:rsidR="003D3BA8" w:rsidRPr="003D3BA8" w:rsidRDefault="003D3BA8" w:rsidP="003D3BA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3639"/>
    <w:multiLevelType w:val="hybridMultilevel"/>
    <w:tmpl w:val="BEF6570C"/>
    <w:lvl w:ilvl="0" w:tplc="FF5AEE80">
      <w:start w:val="1"/>
      <w:numFmt w:val="lowerLetter"/>
      <w:lvlText w:val="%1)"/>
      <w:lvlJc w:val="left"/>
      <w:pPr>
        <w:ind w:left="100" w:hanging="281"/>
      </w:pPr>
      <w:rPr>
        <w:rFonts w:ascii="Arial" w:eastAsia="Arial" w:hAnsi="Arial" w:cs="Arial" w:hint="default"/>
        <w:spacing w:val="-4"/>
        <w:w w:val="99"/>
        <w:sz w:val="24"/>
        <w:szCs w:val="24"/>
        <w:lang w:val="pt-BR" w:eastAsia="pt-BR" w:bidi="pt-BR"/>
      </w:rPr>
    </w:lvl>
    <w:lvl w:ilvl="1" w:tplc="4A54CEE2">
      <w:numFmt w:val="bullet"/>
      <w:lvlText w:val="•"/>
      <w:lvlJc w:val="left"/>
      <w:pPr>
        <w:ind w:left="1032" w:hanging="281"/>
      </w:pPr>
      <w:rPr>
        <w:rFonts w:hint="default"/>
        <w:lang w:val="pt-BR" w:eastAsia="pt-BR" w:bidi="pt-BR"/>
      </w:rPr>
    </w:lvl>
    <w:lvl w:ilvl="2" w:tplc="316A177E">
      <w:numFmt w:val="bullet"/>
      <w:lvlText w:val="•"/>
      <w:lvlJc w:val="left"/>
      <w:pPr>
        <w:ind w:left="1965" w:hanging="281"/>
      </w:pPr>
      <w:rPr>
        <w:rFonts w:hint="default"/>
        <w:lang w:val="pt-BR" w:eastAsia="pt-BR" w:bidi="pt-BR"/>
      </w:rPr>
    </w:lvl>
    <w:lvl w:ilvl="3" w:tplc="A6266DDA">
      <w:numFmt w:val="bullet"/>
      <w:lvlText w:val="•"/>
      <w:lvlJc w:val="left"/>
      <w:pPr>
        <w:ind w:left="2897" w:hanging="281"/>
      </w:pPr>
      <w:rPr>
        <w:rFonts w:hint="default"/>
        <w:lang w:val="pt-BR" w:eastAsia="pt-BR" w:bidi="pt-BR"/>
      </w:rPr>
    </w:lvl>
    <w:lvl w:ilvl="4" w:tplc="C8B2FD94">
      <w:numFmt w:val="bullet"/>
      <w:lvlText w:val="•"/>
      <w:lvlJc w:val="left"/>
      <w:pPr>
        <w:ind w:left="3830" w:hanging="281"/>
      </w:pPr>
      <w:rPr>
        <w:rFonts w:hint="default"/>
        <w:lang w:val="pt-BR" w:eastAsia="pt-BR" w:bidi="pt-BR"/>
      </w:rPr>
    </w:lvl>
    <w:lvl w:ilvl="5" w:tplc="D6564DBA">
      <w:numFmt w:val="bullet"/>
      <w:lvlText w:val="•"/>
      <w:lvlJc w:val="left"/>
      <w:pPr>
        <w:ind w:left="4763" w:hanging="281"/>
      </w:pPr>
      <w:rPr>
        <w:rFonts w:hint="default"/>
        <w:lang w:val="pt-BR" w:eastAsia="pt-BR" w:bidi="pt-BR"/>
      </w:rPr>
    </w:lvl>
    <w:lvl w:ilvl="6" w:tplc="6B96B72C">
      <w:numFmt w:val="bullet"/>
      <w:lvlText w:val="•"/>
      <w:lvlJc w:val="left"/>
      <w:pPr>
        <w:ind w:left="5695" w:hanging="281"/>
      </w:pPr>
      <w:rPr>
        <w:rFonts w:hint="default"/>
        <w:lang w:val="pt-BR" w:eastAsia="pt-BR" w:bidi="pt-BR"/>
      </w:rPr>
    </w:lvl>
    <w:lvl w:ilvl="7" w:tplc="92BE1450">
      <w:numFmt w:val="bullet"/>
      <w:lvlText w:val="•"/>
      <w:lvlJc w:val="left"/>
      <w:pPr>
        <w:ind w:left="6628" w:hanging="281"/>
      </w:pPr>
      <w:rPr>
        <w:rFonts w:hint="default"/>
        <w:lang w:val="pt-BR" w:eastAsia="pt-BR" w:bidi="pt-BR"/>
      </w:rPr>
    </w:lvl>
    <w:lvl w:ilvl="8" w:tplc="80F4B5FE">
      <w:numFmt w:val="bullet"/>
      <w:lvlText w:val="•"/>
      <w:lvlJc w:val="left"/>
      <w:pPr>
        <w:ind w:left="7561" w:hanging="281"/>
      </w:pPr>
      <w:rPr>
        <w:rFonts w:hint="default"/>
        <w:lang w:val="pt-BR" w:eastAsia="pt-BR" w:bidi="pt-BR"/>
      </w:rPr>
    </w:lvl>
  </w:abstractNum>
  <w:abstractNum w:abstractNumId="1" w15:restartNumberingAfterBreak="0">
    <w:nsid w:val="2C5D24B0"/>
    <w:multiLevelType w:val="hybridMultilevel"/>
    <w:tmpl w:val="391E9F66"/>
    <w:lvl w:ilvl="0" w:tplc="763C4C74">
      <w:start w:val="1"/>
      <w:numFmt w:val="lowerLetter"/>
      <w:lvlText w:val="%1)"/>
      <w:lvlJc w:val="left"/>
      <w:pPr>
        <w:ind w:left="100" w:hanging="300"/>
      </w:pPr>
      <w:rPr>
        <w:rFonts w:ascii="Arial" w:eastAsia="Arial" w:hAnsi="Arial" w:cs="Arial" w:hint="default"/>
        <w:w w:val="99"/>
        <w:sz w:val="24"/>
        <w:szCs w:val="24"/>
        <w:lang w:val="pt-BR" w:eastAsia="pt-BR" w:bidi="pt-BR"/>
      </w:rPr>
    </w:lvl>
    <w:lvl w:ilvl="1" w:tplc="7C08BB0C">
      <w:numFmt w:val="bullet"/>
      <w:lvlText w:val="•"/>
      <w:lvlJc w:val="left"/>
      <w:pPr>
        <w:ind w:left="1032" w:hanging="300"/>
      </w:pPr>
      <w:rPr>
        <w:rFonts w:hint="default"/>
        <w:lang w:val="pt-BR" w:eastAsia="pt-BR" w:bidi="pt-BR"/>
      </w:rPr>
    </w:lvl>
    <w:lvl w:ilvl="2" w:tplc="2A544AE2">
      <w:numFmt w:val="bullet"/>
      <w:lvlText w:val="•"/>
      <w:lvlJc w:val="left"/>
      <w:pPr>
        <w:ind w:left="1965" w:hanging="300"/>
      </w:pPr>
      <w:rPr>
        <w:rFonts w:hint="default"/>
        <w:lang w:val="pt-BR" w:eastAsia="pt-BR" w:bidi="pt-BR"/>
      </w:rPr>
    </w:lvl>
    <w:lvl w:ilvl="3" w:tplc="11FE92D0">
      <w:numFmt w:val="bullet"/>
      <w:lvlText w:val="•"/>
      <w:lvlJc w:val="left"/>
      <w:pPr>
        <w:ind w:left="2897" w:hanging="300"/>
      </w:pPr>
      <w:rPr>
        <w:rFonts w:hint="default"/>
        <w:lang w:val="pt-BR" w:eastAsia="pt-BR" w:bidi="pt-BR"/>
      </w:rPr>
    </w:lvl>
    <w:lvl w:ilvl="4" w:tplc="B1E06B06">
      <w:numFmt w:val="bullet"/>
      <w:lvlText w:val="•"/>
      <w:lvlJc w:val="left"/>
      <w:pPr>
        <w:ind w:left="3830" w:hanging="300"/>
      </w:pPr>
      <w:rPr>
        <w:rFonts w:hint="default"/>
        <w:lang w:val="pt-BR" w:eastAsia="pt-BR" w:bidi="pt-BR"/>
      </w:rPr>
    </w:lvl>
    <w:lvl w:ilvl="5" w:tplc="5CC8EEA2">
      <w:numFmt w:val="bullet"/>
      <w:lvlText w:val="•"/>
      <w:lvlJc w:val="left"/>
      <w:pPr>
        <w:ind w:left="4763" w:hanging="300"/>
      </w:pPr>
      <w:rPr>
        <w:rFonts w:hint="default"/>
        <w:lang w:val="pt-BR" w:eastAsia="pt-BR" w:bidi="pt-BR"/>
      </w:rPr>
    </w:lvl>
    <w:lvl w:ilvl="6" w:tplc="4D6E0E2A">
      <w:numFmt w:val="bullet"/>
      <w:lvlText w:val="•"/>
      <w:lvlJc w:val="left"/>
      <w:pPr>
        <w:ind w:left="5695" w:hanging="300"/>
      </w:pPr>
      <w:rPr>
        <w:rFonts w:hint="default"/>
        <w:lang w:val="pt-BR" w:eastAsia="pt-BR" w:bidi="pt-BR"/>
      </w:rPr>
    </w:lvl>
    <w:lvl w:ilvl="7" w:tplc="AB185AA0">
      <w:numFmt w:val="bullet"/>
      <w:lvlText w:val="•"/>
      <w:lvlJc w:val="left"/>
      <w:pPr>
        <w:ind w:left="6628" w:hanging="300"/>
      </w:pPr>
      <w:rPr>
        <w:rFonts w:hint="default"/>
        <w:lang w:val="pt-BR" w:eastAsia="pt-BR" w:bidi="pt-BR"/>
      </w:rPr>
    </w:lvl>
    <w:lvl w:ilvl="8" w:tplc="02EA0FBE">
      <w:numFmt w:val="bullet"/>
      <w:lvlText w:val="•"/>
      <w:lvlJc w:val="left"/>
      <w:pPr>
        <w:ind w:left="7561" w:hanging="300"/>
      </w:pPr>
      <w:rPr>
        <w:rFonts w:hint="default"/>
        <w:lang w:val="pt-BR" w:eastAsia="pt-BR" w:bidi="pt-BR"/>
      </w:rPr>
    </w:lvl>
  </w:abstractNum>
  <w:abstractNum w:abstractNumId="2" w15:restartNumberingAfterBreak="0">
    <w:nsid w:val="381F2EAA"/>
    <w:multiLevelType w:val="hybridMultilevel"/>
    <w:tmpl w:val="D942546A"/>
    <w:lvl w:ilvl="0" w:tplc="F6085448">
      <w:start w:val="1"/>
      <w:numFmt w:val="lowerLetter"/>
      <w:lvlText w:val="%1)"/>
      <w:lvlJc w:val="left"/>
      <w:pPr>
        <w:ind w:left="100" w:hanging="329"/>
      </w:pPr>
      <w:rPr>
        <w:rFonts w:ascii="Arial" w:eastAsia="Arial" w:hAnsi="Arial" w:cs="Arial" w:hint="default"/>
        <w:spacing w:val="-20"/>
        <w:w w:val="99"/>
        <w:sz w:val="24"/>
        <w:szCs w:val="24"/>
        <w:lang w:val="pt-BR" w:eastAsia="pt-BR" w:bidi="pt-BR"/>
      </w:rPr>
    </w:lvl>
    <w:lvl w:ilvl="1" w:tplc="B96010BC">
      <w:numFmt w:val="bullet"/>
      <w:lvlText w:val="•"/>
      <w:lvlJc w:val="left"/>
      <w:pPr>
        <w:ind w:left="1032" w:hanging="329"/>
      </w:pPr>
      <w:rPr>
        <w:rFonts w:hint="default"/>
        <w:lang w:val="pt-BR" w:eastAsia="pt-BR" w:bidi="pt-BR"/>
      </w:rPr>
    </w:lvl>
    <w:lvl w:ilvl="2" w:tplc="5E0A3220">
      <w:numFmt w:val="bullet"/>
      <w:lvlText w:val="•"/>
      <w:lvlJc w:val="left"/>
      <w:pPr>
        <w:ind w:left="1965" w:hanging="329"/>
      </w:pPr>
      <w:rPr>
        <w:rFonts w:hint="default"/>
        <w:lang w:val="pt-BR" w:eastAsia="pt-BR" w:bidi="pt-BR"/>
      </w:rPr>
    </w:lvl>
    <w:lvl w:ilvl="3" w:tplc="52D2A2C0">
      <w:numFmt w:val="bullet"/>
      <w:lvlText w:val="•"/>
      <w:lvlJc w:val="left"/>
      <w:pPr>
        <w:ind w:left="2897" w:hanging="329"/>
      </w:pPr>
      <w:rPr>
        <w:rFonts w:hint="default"/>
        <w:lang w:val="pt-BR" w:eastAsia="pt-BR" w:bidi="pt-BR"/>
      </w:rPr>
    </w:lvl>
    <w:lvl w:ilvl="4" w:tplc="11A42096">
      <w:numFmt w:val="bullet"/>
      <w:lvlText w:val="•"/>
      <w:lvlJc w:val="left"/>
      <w:pPr>
        <w:ind w:left="3830" w:hanging="329"/>
      </w:pPr>
      <w:rPr>
        <w:rFonts w:hint="default"/>
        <w:lang w:val="pt-BR" w:eastAsia="pt-BR" w:bidi="pt-BR"/>
      </w:rPr>
    </w:lvl>
    <w:lvl w:ilvl="5" w:tplc="6D969DBA">
      <w:numFmt w:val="bullet"/>
      <w:lvlText w:val="•"/>
      <w:lvlJc w:val="left"/>
      <w:pPr>
        <w:ind w:left="4763" w:hanging="329"/>
      </w:pPr>
      <w:rPr>
        <w:rFonts w:hint="default"/>
        <w:lang w:val="pt-BR" w:eastAsia="pt-BR" w:bidi="pt-BR"/>
      </w:rPr>
    </w:lvl>
    <w:lvl w:ilvl="6" w:tplc="6F58ED32">
      <w:numFmt w:val="bullet"/>
      <w:lvlText w:val="•"/>
      <w:lvlJc w:val="left"/>
      <w:pPr>
        <w:ind w:left="5695" w:hanging="329"/>
      </w:pPr>
      <w:rPr>
        <w:rFonts w:hint="default"/>
        <w:lang w:val="pt-BR" w:eastAsia="pt-BR" w:bidi="pt-BR"/>
      </w:rPr>
    </w:lvl>
    <w:lvl w:ilvl="7" w:tplc="1EC85326">
      <w:numFmt w:val="bullet"/>
      <w:lvlText w:val="•"/>
      <w:lvlJc w:val="left"/>
      <w:pPr>
        <w:ind w:left="6628" w:hanging="329"/>
      </w:pPr>
      <w:rPr>
        <w:rFonts w:hint="default"/>
        <w:lang w:val="pt-BR" w:eastAsia="pt-BR" w:bidi="pt-BR"/>
      </w:rPr>
    </w:lvl>
    <w:lvl w:ilvl="8" w:tplc="6900BDDE">
      <w:numFmt w:val="bullet"/>
      <w:lvlText w:val="•"/>
      <w:lvlJc w:val="left"/>
      <w:pPr>
        <w:ind w:left="7561" w:hanging="329"/>
      </w:pPr>
      <w:rPr>
        <w:rFonts w:hint="default"/>
        <w:lang w:val="pt-BR" w:eastAsia="pt-BR" w:bidi="pt-BR"/>
      </w:rPr>
    </w:lvl>
  </w:abstractNum>
  <w:abstractNum w:abstractNumId="3" w15:restartNumberingAfterBreak="0">
    <w:nsid w:val="3AD9483D"/>
    <w:multiLevelType w:val="multilevel"/>
    <w:tmpl w:val="56FEC8B4"/>
    <w:lvl w:ilvl="0">
      <w:start w:val="3"/>
      <w:numFmt w:val="decimal"/>
      <w:lvlText w:val="%1"/>
      <w:lvlJc w:val="left"/>
      <w:pPr>
        <w:ind w:left="100" w:hanging="669"/>
      </w:pPr>
      <w:rPr>
        <w:rFonts w:hint="default"/>
        <w:lang w:val="pt-BR" w:eastAsia="pt-BR" w:bidi="pt-BR"/>
      </w:rPr>
    </w:lvl>
    <w:lvl w:ilvl="1">
      <w:start w:val="1"/>
      <w:numFmt w:val="decimal"/>
      <w:lvlText w:val="%1.%2"/>
      <w:lvlJc w:val="left"/>
      <w:pPr>
        <w:ind w:left="100" w:hanging="669"/>
      </w:pPr>
      <w:rPr>
        <w:rFonts w:hint="default"/>
        <w:lang w:val="pt-BR" w:eastAsia="pt-BR" w:bidi="pt-BR"/>
      </w:rPr>
    </w:lvl>
    <w:lvl w:ilvl="2">
      <w:start w:val="1"/>
      <w:numFmt w:val="decimal"/>
      <w:lvlText w:val="%1.%2.%3."/>
      <w:lvlJc w:val="left"/>
      <w:pPr>
        <w:ind w:left="100" w:hanging="669"/>
      </w:pPr>
      <w:rPr>
        <w:rFonts w:ascii="Arial" w:eastAsia="Arial" w:hAnsi="Arial" w:cs="Arial" w:hint="default"/>
        <w:spacing w:val="-2"/>
        <w:w w:val="99"/>
        <w:sz w:val="24"/>
        <w:szCs w:val="24"/>
        <w:lang w:val="pt-BR" w:eastAsia="pt-BR" w:bidi="pt-BR"/>
      </w:rPr>
    </w:lvl>
    <w:lvl w:ilvl="3">
      <w:numFmt w:val="bullet"/>
      <w:lvlText w:val="•"/>
      <w:lvlJc w:val="left"/>
      <w:pPr>
        <w:ind w:left="2897" w:hanging="669"/>
      </w:pPr>
      <w:rPr>
        <w:rFonts w:hint="default"/>
        <w:lang w:val="pt-BR" w:eastAsia="pt-BR" w:bidi="pt-BR"/>
      </w:rPr>
    </w:lvl>
    <w:lvl w:ilvl="4">
      <w:numFmt w:val="bullet"/>
      <w:lvlText w:val="•"/>
      <w:lvlJc w:val="left"/>
      <w:pPr>
        <w:ind w:left="3830" w:hanging="669"/>
      </w:pPr>
      <w:rPr>
        <w:rFonts w:hint="default"/>
        <w:lang w:val="pt-BR" w:eastAsia="pt-BR" w:bidi="pt-BR"/>
      </w:rPr>
    </w:lvl>
    <w:lvl w:ilvl="5">
      <w:numFmt w:val="bullet"/>
      <w:lvlText w:val="•"/>
      <w:lvlJc w:val="left"/>
      <w:pPr>
        <w:ind w:left="4763" w:hanging="669"/>
      </w:pPr>
      <w:rPr>
        <w:rFonts w:hint="default"/>
        <w:lang w:val="pt-BR" w:eastAsia="pt-BR" w:bidi="pt-BR"/>
      </w:rPr>
    </w:lvl>
    <w:lvl w:ilvl="6">
      <w:numFmt w:val="bullet"/>
      <w:lvlText w:val="•"/>
      <w:lvlJc w:val="left"/>
      <w:pPr>
        <w:ind w:left="5695" w:hanging="669"/>
      </w:pPr>
      <w:rPr>
        <w:rFonts w:hint="default"/>
        <w:lang w:val="pt-BR" w:eastAsia="pt-BR" w:bidi="pt-BR"/>
      </w:rPr>
    </w:lvl>
    <w:lvl w:ilvl="7">
      <w:numFmt w:val="bullet"/>
      <w:lvlText w:val="•"/>
      <w:lvlJc w:val="left"/>
      <w:pPr>
        <w:ind w:left="6628" w:hanging="669"/>
      </w:pPr>
      <w:rPr>
        <w:rFonts w:hint="default"/>
        <w:lang w:val="pt-BR" w:eastAsia="pt-BR" w:bidi="pt-BR"/>
      </w:rPr>
    </w:lvl>
    <w:lvl w:ilvl="8">
      <w:numFmt w:val="bullet"/>
      <w:lvlText w:val="•"/>
      <w:lvlJc w:val="left"/>
      <w:pPr>
        <w:ind w:left="7561" w:hanging="669"/>
      </w:pPr>
      <w:rPr>
        <w:rFonts w:hint="default"/>
        <w:lang w:val="pt-BR" w:eastAsia="pt-BR" w:bidi="pt-BR"/>
      </w:rPr>
    </w:lvl>
  </w:abstractNum>
  <w:abstractNum w:abstractNumId="4" w15:restartNumberingAfterBreak="0">
    <w:nsid w:val="4532648E"/>
    <w:multiLevelType w:val="hybridMultilevel"/>
    <w:tmpl w:val="F27C4512"/>
    <w:lvl w:ilvl="0" w:tplc="4A80A722">
      <w:start w:val="1"/>
      <w:numFmt w:val="lowerLetter"/>
      <w:lvlText w:val="%1)"/>
      <w:lvlJc w:val="left"/>
      <w:pPr>
        <w:ind w:left="100" w:hanging="281"/>
      </w:pPr>
      <w:rPr>
        <w:rFonts w:ascii="Arial" w:eastAsia="Arial" w:hAnsi="Arial" w:cs="Arial" w:hint="default"/>
        <w:spacing w:val="-2"/>
        <w:w w:val="99"/>
        <w:sz w:val="24"/>
        <w:szCs w:val="24"/>
        <w:lang w:val="pt-BR" w:eastAsia="pt-BR" w:bidi="pt-BR"/>
      </w:rPr>
    </w:lvl>
    <w:lvl w:ilvl="1" w:tplc="773E1C4A">
      <w:numFmt w:val="bullet"/>
      <w:lvlText w:val="•"/>
      <w:lvlJc w:val="left"/>
      <w:pPr>
        <w:ind w:left="1032" w:hanging="281"/>
      </w:pPr>
      <w:rPr>
        <w:rFonts w:hint="default"/>
        <w:lang w:val="pt-BR" w:eastAsia="pt-BR" w:bidi="pt-BR"/>
      </w:rPr>
    </w:lvl>
    <w:lvl w:ilvl="2" w:tplc="87624AC2">
      <w:numFmt w:val="bullet"/>
      <w:lvlText w:val="•"/>
      <w:lvlJc w:val="left"/>
      <w:pPr>
        <w:ind w:left="1965" w:hanging="281"/>
      </w:pPr>
      <w:rPr>
        <w:rFonts w:hint="default"/>
        <w:lang w:val="pt-BR" w:eastAsia="pt-BR" w:bidi="pt-BR"/>
      </w:rPr>
    </w:lvl>
    <w:lvl w:ilvl="3" w:tplc="43B6164C">
      <w:numFmt w:val="bullet"/>
      <w:lvlText w:val="•"/>
      <w:lvlJc w:val="left"/>
      <w:pPr>
        <w:ind w:left="2897" w:hanging="281"/>
      </w:pPr>
      <w:rPr>
        <w:rFonts w:hint="default"/>
        <w:lang w:val="pt-BR" w:eastAsia="pt-BR" w:bidi="pt-BR"/>
      </w:rPr>
    </w:lvl>
    <w:lvl w:ilvl="4" w:tplc="EA52F3B4">
      <w:numFmt w:val="bullet"/>
      <w:lvlText w:val="•"/>
      <w:lvlJc w:val="left"/>
      <w:pPr>
        <w:ind w:left="3830" w:hanging="281"/>
      </w:pPr>
      <w:rPr>
        <w:rFonts w:hint="default"/>
        <w:lang w:val="pt-BR" w:eastAsia="pt-BR" w:bidi="pt-BR"/>
      </w:rPr>
    </w:lvl>
    <w:lvl w:ilvl="5" w:tplc="F3629674">
      <w:numFmt w:val="bullet"/>
      <w:lvlText w:val="•"/>
      <w:lvlJc w:val="left"/>
      <w:pPr>
        <w:ind w:left="4763" w:hanging="281"/>
      </w:pPr>
      <w:rPr>
        <w:rFonts w:hint="default"/>
        <w:lang w:val="pt-BR" w:eastAsia="pt-BR" w:bidi="pt-BR"/>
      </w:rPr>
    </w:lvl>
    <w:lvl w:ilvl="6" w:tplc="873EFE94">
      <w:numFmt w:val="bullet"/>
      <w:lvlText w:val="•"/>
      <w:lvlJc w:val="left"/>
      <w:pPr>
        <w:ind w:left="5695" w:hanging="281"/>
      </w:pPr>
      <w:rPr>
        <w:rFonts w:hint="default"/>
        <w:lang w:val="pt-BR" w:eastAsia="pt-BR" w:bidi="pt-BR"/>
      </w:rPr>
    </w:lvl>
    <w:lvl w:ilvl="7" w:tplc="0846DA5C">
      <w:numFmt w:val="bullet"/>
      <w:lvlText w:val="•"/>
      <w:lvlJc w:val="left"/>
      <w:pPr>
        <w:ind w:left="6628" w:hanging="281"/>
      </w:pPr>
      <w:rPr>
        <w:rFonts w:hint="default"/>
        <w:lang w:val="pt-BR" w:eastAsia="pt-BR" w:bidi="pt-BR"/>
      </w:rPr>
    </w:lvl>
    <w:lvl w:ilvl="8" w:tplc="7FF41B2A">
      <w:numFmt w:val="bullet"/>
      <w:lvlText w:val="•"/>
      <w:lvlJc w:val="left"/>
      <w:pPr>
        <w:ind w:left="7561" w:hanging="281"/>
      </w:pPr>
      <w:rPr>
        <w:rFonts w:hint="default"/>
        <w:lang w:val="pt-BR" w:eastAsia="pt-BR" w:bidi="pt-BR"/>
      </w:rPr>
    </w:lvl>
  </w:abstractNum>
  <w:abstractNum w:abstractNumId="5" w15:restartNumberingAfterBreak="0">
    <w:nsid w:val="757E40A2"/>
    <w:multiLevelType w:val="hybridMultilevel"/>
    <w:tmpl w:val="972855D2"/>
    <w:lvl w:ilvl="0" w:tplc="AD4CD08A">
      <w:start w:val="1"/>
      <w:numFmt w:val="lowerLetter"/>
      <w:lvlText w:val="%1)"/>
      <w:lvlJc w:val="left"/>
      <w:pPr>
        <w:ind w:left="100" w:hanging="362"/>
      </w:pPr>
      <w:rPr>
        <w:rFonts w:ascii="Arial" w:eastAsia="Arial" w:hAnsi="Arial" w:cs="Arial" w:hint="default"/>
        <w:spacing w:val="-14"/>
        <w:w w:val="99"/>
        <w:sz w:val="24"/>
        <w:szCs w:val="24"/>
        <w:lang w:val="pt-BR" w:eastAsia="pt-BR" w:bidi="pt-BR"/>
      </w:rPr>
    </w:lvl>
    <w:lvl w:ilvl="1" w:tplc="CBD891F4">
      <w:numFmt w:val="bullet"/>
      <w:lvlText w:val="•"/>
      <w:lvlJc w:val="left"/>
      <w:pPr>
        <w:ind w:left="1032" w:hanging="362"/>
      </w:pPr>
      <w:rPr>
        <w:rFonts w:hint="default"/>
        <w:lang w:val="pt-BR" w:eastAsia="pt-BR" w:bidi="pt-BR"/>
      </w:rPr>
    </w:lvl>
    <w:lvl w:ilvl="2" w:tplc="DEFCFFBE">
      <w:numFmt w:val="bullet"/>
      <w:lvlText w:val="•"/>
      <w:lvlJc w:val="left"/>
      <w:pPr>
        <w:ind w:left="1965" w:hanging="362"/>
      </w:pPr>
      <w:rPr>
        <w:rFonts w:hint="default"/>
        <w:lang w:val="pt-BR" w:eastAsia="pt-BR" w:bidi="pt-BR"/>
      </w:rPr>
    </w:lvl>
    <w:lvl w:ilvl="3" w:tplc="E8BE5F3E">
      <w:numFmt w:val="bullet"/>
      <w:lvlText w:val="•"/>
      <w:lvlJc w:val="left"/>
      <w:pPr>
        <w:ind w:left="2897" w:hanging="362"/>
      </w:pPr>
      <w:rPr>
        <w:rFonts w:hint="default"/>
        <w:lang w:val="pt-BR" w:eastAsia="pt-BR" w:bidi="pt-BR"/>
      </w:rPr>
    </w:lvl>
    <w:lvl w:ilvl="4" w:tplc="418E37DE">
      <w:numFmt w:val="bullet"/>
      <w:lvlText w:val="•"/>
      <w:lvlJc w:val="left"/>
      <w:pPr>
        <w:ind w:left="3830" w:hanging="362"/>
      </w:pPr>
      <w:rPr>
        <w:rFonts w:hint="default"/>
        <w:lang w:val="pt-BR" w:eastAsia="pt-BR" w:bidi="pt-BR"/>
      </w:rPr>
    </w:lvl>
    <w:lvl w:ilvl="5" w:tplc="C1D0C654">
      <w:numFmt w:val="bullet"/>
      <w:lvlText w:val="•"/>
      <w:lvlJc w:val="left"/>
      <w:pPr>
        <w:ind w:left="4763" w:hanging="362"/>
      </w:pPr>
      <w:rPr>
        <w:rFonts w:hint="default"/>
        <w:lang w:val="pt-BR" w:eastAsia="pt-BR" w:bidi="pt-BR"/>
      </w:rPr>
    </w:lvl>
    <w:lvl w:ilvl="6" w:tplc="2AA451B4">
      <w:numFmt w:val="bullet"/>
      <w:lvlText w:val="•"/>
      <w:lvlJc w:val="left"/>
      <w:pPr>
        <w:ind w:left="5695" w:hanging="362"/>
      </w:pPr>
      <w:rPr>
        <w:rFonts w:hint="default"/>
        <w:lang w:val="pt-BR" w:eastAsia="pt-BR" w:bidi="pt-BR"/>
      </w:rPr>
    </w:lvl>
    <w:lvl w:ilvl="7" w:tplc="C2245228">
      <w:numFmt w:val="bullet"/>
      <w:lvlText w:val="•"/>
      <w:lvlJc w:val="left"/>
      <w:pPr>
        <w:ind w:left="6628" w:hanging="362"/>
      </w:pPr>
      <w:rPr>
        <w:rFonts w:hint="default"/>
        <w:lang w:val="pt-BR" w:eastAsia="pt-BR" w:bidi="pt-BR"/>
      </w:rPr>
    </w:lvl>
    <w:lvl w:ilvl="8" w:tplc="45309F72">
      <w:numFmt w:val="bullet"/>
      <w:lvlText w:val="•"/>
      <w:lvlJc w:val="left"/>
      <w:pPr>
        <w:ind w:left="7561" w:hanging="362"/>
      </w:pPr>
      <w:rPr>
        <w:rFonts w:hint="default"/>
        <w:lang w:val="pt-BR" w:eastAsia="pt-BR" w:bidi="pt-BR"/>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3D"/>
    <w:rsid w:val="00042276"/>
    <w:rsid w:val="00076676"/>
    <w:rsid w:val="00176420"/>
    <w:rsid w:val="002005B4"/>
    <w:rsid w:val="0036453C"/>
    <w:rsid w:val="003B078F"/>
    <w:rsid w:val="003D3BA8"/>
    <w:rsid w:val="0040375A"/>
    <w:rsid w:val="005B65C2"/>
    <w:rsid w:val="005C47C6"/>
    <w:rsid w:val="0060520E"/>
    <w:rsid w:val="00782679"/>
    <w:rsid w:val="0079704A"/>
    <w:rsid w:val="007B2156"/>
    <w:rsid w:val="007E7D6A"/>
    <w:rsid w:val="00867F73"/>
    <w:rsid w:val="00896AE9"/>
    <w:rsid w:val="0097103D"/>
    <w:rsid w:val="00B425CB"/>
    <w:rsid w:val="00B84B56"/>
    <w:rsid w:val="00E21F0C"/>
    <w:rsid w:val="00E315D7"/>
    <w:rsid w:val="00ED4460"/>
    <w:rsid w:val="00F34514"/>
    <w:rsid w:val="00F663C1"/>
    <w:rsid w:val="00F66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F6D51"/>
  <w15:docId w15:val="{E74A431C-8CBC-4DEA-8506-FBB930E0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8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jc w:val="both"/>
    </w:pPr>
    <w:rPr>
      <w:sz w:val="24"/>
      <w:szCs w:val="24"/>
    </w:rPr>
  </w:style>
  <w:style w:type="paragraph" w:styleId="Pargrafoda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D3BA8"/>
    <w:pPr>
      <w:tabs>
        <w:tab w:val="center" w:pos="4252"/>
        <w:tab w:val="right" w:pos="8504"/>
      </w:tabs>
    </w:pPr>
  </w:style>
  <w:style w:type="character" w:customStyle="1" w:styleId="CabealhoChar">
    <w:name w:val="Cabeçalho Char"/>
    <w:basedOn w:val="Fontepargpadro"/>
    <w:link w:val="Cabealho"/>
    <w:uiPriority w:val="99"/>
    <w:rsid w:val="003D3BA8"/>
    <w:rPr>
      <w:rFonts w:ascii="Arial" w:eastAsia="Arial" w:hAnsi="Arial" w:cs="Arial"/>
      <w:lang w:val="pt-BR" w:eastAsia="pt-BR" w:bidi="pt-BR"/>
    </w:rPr>
  </w:style>
  <w:style w:type="paragraph" w:styleId="Rodap">
    <w:name w:val="footer"/>
    <w:basedOn w:val="Normal"/>
    <w:link w:val="RodapChar"/>
    <w:uiPriority w:val="99"/>
    <w:unhideWhenUsed/>
    <w:rsid w:val="003D3BA8"/>
    <w:pPr>
      <w:tabs>
        <w:tab w:val="center" w:pos="4252"/>
        <w:tab w:val="right" w:pos="8504"/>
      </w:tabs>
    </w:pPr>
  </w:style>
  <w:style w:type="character" w:customStyle="1" w:styleId="RodapChar">
    <w:name w:val="Rodapé Char"/>
    <w:basedOn w:val="Fontepargpadro"/>
    <w:link w:val="Rodap"/>
    <w:uiPriority w:val="99"/>
    <w:rsid w:val="003D3BA8"/>
    <w:rPr>
      <w:rFonts w:ascii="Arial" w:eastAsia="Arial" w:hAnsi="Arial" w:cs="Arial"/>
      <w:lang w:val="pt-BR" w:eastAsia="pt-BR" w:bidi="pt-BR"/>
    </w:rPr>
  </w:style>
  <w:style w:type="character" w:styleId="Hyperlink">
    <w:name w:val="Hyperlink"/>
    <w:basedOn w:val="Fontepargpadro"/>
    <w:uiPriority w:val="99"/>
    <w:unhideWhenUsed/>
    <w:rsid w:val="003D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0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nstitutocem.org.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7620-heryka</dc:creator>
  <cp:lastModifiedBy>Thadeu Grembecki</cp:lastModifiedBy>
  <cp:revision>2</cp:revision>
  <cp:lastPrinted>2021-04-22T17:19:00Z</cp:lastPrinted>
  <dcterms:created xsi:type="dcterms:W3CDTF">2021-04-22T17:23:00Z</dcterms:created>
  <dcterms:modified xsi:type="dcterms:W3CDTF">2021-04-22T17:23:00Z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2019</vt:lpwstr>
  </property>
  <property fmtid="{D5CDD505-2E9C-101B-9397-08002B2CF9AE}" pid="4" name="LastSaved">
    <vt:filetime>2021-04-16T00:00:00Z</vt:filetime>
  </property>
</Properties>
</file>